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sz w:val="22"/>
        </w:rPr>
        <w:t>March 6, 2026</w:t>
      </w:r>
    </w:p>
    <w:p>
      <w:r>
        <w:rPr>
          <w:sz w:val="22"/>
        </w:rPr>
        <w:t>Alain C. Borczuk, MD</w:t>
        <w:br/>
        <w:t>Editor in Chief</w:t>
        <w:br/>
        <w:t>Archives of Pathology &amp; Laboratory Medicine</w:t>
      </w:r>
    </w:p>
    <w:p>
      <w:r>
        <w:rPr>
          <w:b/>
          <w:sz w:val="22"/>
        </w:rPr>
        <w:t>Re: Manuscript – "Artificial Intelligence as a Second Reader in Prostate Core Needle Biopsies: The Effect on Diagnostic Agreement and Gleason Score"</w:t>
      </w:r>
    </w:p>
    <w:p>
      <w:r>
        <w:rPr>
          <w:sz w:val="22"/>
        </w:rPr>
        <w:t>Dear Dr. Borczuk,</w:t>
      </w:r>
    </w:p>
    <w:p>
      <w:r>
        <w:rPr>
          <w:sz w:val="22"/>
        </w:rPr>
        <w:t>Thank you for the opportunity to revise our manuscript and for the constructive feedback from the reviewers. We have carefully addressed all comments and made the requested changes. Below, we provide a point-by-point response to each comment. All changes in the manuscript are indicated with strikethrough for deletions and red text for additions.</w:t>
      </w:r>
    </w:p>
    <w:p/>
    <w:p>
      <w:pPr>
        <w:pStyle w:val="Heading2"/>
        <w:spacing w:line="480" w:lineRule="auto"/>
      </w:pPr>
      <w:r>
        <w:t>EDITOR COMMENTS AND RESPONSES</w:t>
      </w:r>
    </w:p>
    <w:p>
      <w:r>
        <w:rPr>
          <w:b/>
        </w:rPr>
        <w:t>1. Author Information in Text</w:t>
      </w:r>
    </w:p>
    <w:p>
      <w:r>
        <w:t>Comment: "Please do not include any author information within the revised text file. The author initials (F.A.) were removed from the text in 2 places and the Acknowledgement was removed."</w:t>
      </w:r>
    </w:p>
    <w:p>
      <w:r>
        <w:rPr>
          <w:b/>
        </w:rPr>
        <w:t xml:space="preserve">Response: </w:t>
      </w:r>
      <w:r>
        <w:t>We have kept all author-identifying information out of the revised manuscript text. The full sentences containing author initials (F.A.) and the Acknowledgement section have been included in the cover letter for reinsertion after review.</w:t>
      </w:r>
    </w:p>
    <w:p>
      <w:r>
        <w:rPr>
          <w:b/>
        </w:rPr>
        <w:br/>
        <w:t>2. Figures/Tables and Spacing</w:t>
      </w:r>
    </w:p>
    <w:p>
      <w:r>
        <w:t>Comment: "Do not embed the figures and tables within the main text. And the full text should be double-spaced."</w:t>
      </w:r>
    </w:p>
    <w:p>
      <w:r>
        <w:rPr>
          <w:b/>
        </w:rPr>
        <w:t xml:space="preserve">Response: </w:t>
      </w:r>
      <w:r>
        <w:t>All figures and tables have been removed from the main text body and are referenced with placement indicators. The full text has been formatted with double spacing throughout.</w:t>
      </w:r>
    </w:p>
    <w:p>
      <w:r>
        <w:rPr>
          <w:b/>
        </w:rPr>
        <w:br/>
        <w:t>3. Title/Running Title Consistency</w:t>
      </w:r>
    </w:p>
    <w:p>
      <w:r>
        <w:t>Comment: "The title and running title entered in the submission site differ from the title and running title included on the title page."</w:t>
      </w:r>
    </w:p>
    <w:p>
      <w:r>
        <w:rPr>
          <w:b/>
        </w:rPr>
        <w:t xml:space="preserve">Response: </w:t>
      </w:r>
      <w:r>
        <w:t>We have ensured that the title ("Artificial Intelligence as a Second Reader in Prostate Core Needle Biopsies: The Effect on Diagnostic Agreement and Gleason Score") and running title ("Artificial Intelligence and Gleason Grading Agreement") are consistent between the manuscript title page and the submission site.</w:t>
      </w:r>
    </w:p>
    <w:p>
      <w:r>
        <w:rPr>
          <w:b/>
        </w:rPr>
        <w:br/>
        <w:t>4. Abstract Structure</w:t>
      </w:r>
    </w:p>
    <w:p>
      <w:r>
        <w:t>Comment: "Please add a Context section to the Abstract...structured abstract of no more than 250 words using the following sections: Context, Objective, Design, Results, and Conclusions. The Objective section should begin as “Objective: To...”"</w:t>
      </w:r>
    </w:p>
    <w:p>
      <w:r>
        <w:rPr>
          <w:b/>
        </w:rPr>
        <w:t xml:space="preserve">Response: </w:t>
      </w:r>
      <w:r>
        <w:t>We have added a "Context" section to the beginning of the abstract. The "Objective" section now begins with "Objective.—To..." The abstract has been restructured with all five required sections (Context, Objective, Design, Results, Conclusions) and is within the 250-word limit.</w:t>
      </w:r>
    </w:p>
    <w:p>
      <w:r>
        <w:rPr>
          <w:b/>
        </w:rPr>
        <w:br/>
        <w:t>5. "Conclusion" Heading</w:t>
      </w:r>
    </w:p>
    <w:p>
      <w:r>
        <w:t>Comment: "The “Conclusion” heading on page 13 should be plural."</w:t>
      </w:r>
    </w:p>
    <w:p>
      <w:r>
        <w:rPr>
          <w:b/>
        </w:rPr>
        <w:t xml:space="preserve">Response: </w:t>
      </w:r>
      <w:r>
        <w:t>Changed to "Conclusions" (plural).</w:t>
      </w:r>
    </w:p>
    <w:p>
      <w:r>
        <w:rPr>
          <w:b/>
        </w:rPr>
        <w:br/>
        <w:t>6. Figure Callouts</w:t>
      </w:r>
    </w:p>
    <w:p>
      <w:r>
        <w:t>Comment: "Please expand the in-text callouts for the figures so all images are included (eg, cite “Figure 2, A and B” instead of “Figure 2”)."</w:t>
      </w:r>
    </w:p>
    <w:p>
      <w:r>
        <w:rPr>
          <w:b/>
        </w:rPr>
        <w:t xml:space="preserve">Response: </w:t>
      </w:r>
      <w:r>
        <w:t>All figure callouts have been expanded throughout the manuscript. For example: "Figure 2, A through C," "Figure 3, A and B," "Figure 6, A and B," and "Figure 7, A through C."</w:t>
      </w:r>
    </w:p>
    <w:p>
      <w:r>
        <w:rPr>
          <w:b/>
        </w:rPr>
        <w:br/>
        <w:t>7. P Value Formatting</w:t>
      </w:r>
    </w:p>
    <w:p>
      <w:r>
        <w:t>Comment: "The P values must be edited per American Medical Association style."</w:t>
      </w:r>
    </w:p>
    <w:p>
      <w:r>
        <w:rPr>
          <w:b/>
        </w:rPr>
        <w:t xml:space="preserve">Response: </w:t>
      </w:r>
      <w:r>
        <w:t>All P values have been reformatted per AMA style: capital italic P, leading zeros removed (eg, P &lt; .001 instead of p &lt; 0.001), and exact P values stated where applicable. Values are expressed as P &lt; .001 when the exact value is below this threshold.</w:t>
      </w:r>
    </w:p>
    <w:p>
      <w:r>
        <w:rPr>
          <w:b/>
        </w:rPr>
        <w:br/>
        <w:t>8. Figure Legends</w:t>
      </w:r>
    </w:p>
    <w:p>
      <w:r>
        <w:t>Comment: "The figure legends should be listed together at the end of the text, before the reference list. The legends should include the specific magnifications and stains used."</w:t>
      </w:r>
    </w:p>
    <w:p>
      <w:r>
        <w:rPr>
          <w:b/>
        </w:rPr>
        <w:t xml:space="preserve">Response: </w:t>
      </w:r>
      <w:r>
        <w:t>All figure legends have been moved to a dedicated section at the end of the text, before the reference list. Each legend now includes the stain type (H&amp;E or immunohistochemistry), original magnification (×20 or ×40), and definitions of all acronyms used within the legend.</w:t>
      </w:r>
    </w:p>
    <w:p>
      <w:r>
        <w:rPr>
          <w:b/>
        </w:rPr>
        <w:br/>
        <w:t>9. Table Acronyms</w:t>
      </w:r>
    </w:p>
    <w:p>
      <w:r>
        <w:t>Comment: "Any acronym used in a table should be defined below that table."</w:t>
      </w:r>
    </w:p>
    <w:p>
      <w:r>
        <w:rPr>
          <w:b/>
        </w:rPr>
        <w:t xml:space="preserve">Response: </w:t>
      </w:r>
      <w:r>
        <w:t>Acronym definitions have been added below each table. Table 1 and Table 2 now include full definitions of all abbreviations used.</w:t>
      </w:r>
    </w:p>
    <w:p>
      <w:r>
        <w:rPr>
          <w:b/>
        </w:rPr>
        <w:br/>
        <w:t>10. Figure 2B Labeling</w:t>
      </w:r>
    </w:p>
    <w:p>
      <w:r>
        <w:t>Comment: "Figure 2B consists of 2 images and should be labeled as B and C."</w:t>
      </w:r>
    </w:p>
    <w:p>
      <w:r>
        <w:rPr>
          <w:b/>
        </w:rPr>
        <w:t xml:space="preserve">Response: </w:t>
      </w:r>
      <w:r>
        <w:t>Figure 2 has been relabeled as a 3-panel composite: A, B, and C. The text and legend have been updated accordingly to cite "Figure 2, A through C."</w:t>
      </w:r>
    </w:p>
    <w:p>
      <w:r>
        <w:rPr>
          <w:b/>
        </w:rPr>
        <w:br/>
        <w:t>11–13. Figure Quality, Format, and Resolution</w:t>
      </w:r>
    </w:p>
    <w:p>
      <w:r>
        <w:t>Comment: "We require much higher quality figures...TIFF, EPS, Word, or PowerPoint format... Line art at 1200 dpi... Photomicrographs at 300 dpi..."</w:t>
      </w:r>
    </w:p>
    <w:p>
      <w:r>
        <w:rPr>
          <w:b/>
        </w:rPr>
        <w:t xml:space="preserve">Response: </w:t>
      </w:r>
      <w:r>
        <w:t>All figures have been resubmitted in TIFF format. Line art figures (Figures 1, 6, and 7) are submitted at 1200 dpi. Photomicrographs (Figures 2–5) are submitted at 300 dpi minimum. All figures are sized to either 1-column (3.37 inches) or 2-column (7 inches) width as appropriate.</w:t>
      </w:r>
    </w:p>
    <w:p>
      <w:r>
        <w:rPr>
          <w:b/>
        </w:rPr>
        <w:br/>
        <w:t>12. Figure 1 Corrections</w:t>
      </w:r>
    </w:p>
    <w:p>
      <w:r>
        <w:t>Comment: "Remove the trademark symbol from Figure 1 and use a period instead of comma within numbers for decimals."</w:t>
      </w:r>
    </w:p>
    <w:p>
      <w:r>
        <w:rPr>
          <w:b/>
        </w:rPr>
        <w:t xml:space="preserve">Response: </w:t>
      </w:r>
      <w:r>
        <w:t>The trademark symbol has been removed from Figure 1. All decimal separators have been changed from commas to periods (eg, 3.3% instead of 3,3%).</w:t>
      </w:r>
    </w:p>
    <w:p>
      <w:r>
        <w:rPr>
          <w:b/>
        </w:rPr>
        <w:br/>
        <w:t>14. Figure Composites</w:t>
      </w:r>
    </w:p>
    <w:p>
      <w:r>
        <w:t>Comment: "Create composites for figures 2, 3, and 6."</w:t>
      </w:r>
    </w:p>
    <w:p>
      <w:r>
        <w:rPr>
          <w:b/>
        </w:rPr>
        <w:t xml:space="preserve">Response: </w:t>
      </w:r>
      <w:r>
        <w:t>Composites have been created as specified:</w:t>
        <w:br/>
        <w:t>• Figure 2, A through C: stacked A over B over C at 1-column width</w:t>
        <w:br/>
        <w:t>• Figure 3, A and B: stacked at 1-column width</w:t>
        <w:br/>
        <w:t>• Figure 6, A and B: side by side at 2-column width</w:t>
        <w:br/>
        <w:t>All composite labels are placed in the lower left corner directly on the images without background boxes.</w:t>
      </w:r>
    </w:p>
    <w:p>
      <w:r>
        <w:rPr>
          <w:b/>
        </w:rPr>
        <w:br/>
        <w:t>15. Figure 6 and 7 Modifications</w:t>
      </w:r>
    </w:p>
    <w:p>
      <w:r>
        <w:t>Comment: "Remove the titles across the top of Figures 6A and 6B... Add labels A, B, and C to Figure 7."</w:t>
      </w:r>
    </w:p>
    <w:p>
      <w:r>
        <w:rPr>
          <w:b/>
        </w:rPr>
        <w:t xml:space="preserve">Response: </w:t>
      </w:r>
      <w:r>
        <w:t>The titles ("Changes in Pathologist...") have been removed from Figures 6A and 6B; this information is now incorporated into the figure legends. Labels A, B, and C have been added to the lower left corner of each of the three graphs in Figure 7.</w:t>
      </w:r>
    </w:p>
    <w:p>
      <w:r>
        <w:rPr>
          <w:b/>
        </w:rPr>
        <w:br/>
        <w:t>16–17. Authorship Forms and Revision Worksheet</w:t>
      </w:r>
    </w:p>
    <w:p>
      <w:r>
        <w:rPr>
          <w:b/>
        </w:rPr>
        <w:t xml:space="preserve">Response: </w:t>
      </w:r>
      <w:r>
        <w:t>Completed Authorship Forms from all authors are submitted separately. The Revision Worksheet listing all changes is included with this submission.</w:t>
      </w:r>
    </w:p>
    <w:p>
      <w:r>
        <w:br w:type="page"/>
      </w:r>
    </w:p>
    <w:p>
      <w:pPr>
        <w:pStyle w:val="Heading2"/>
        <w:spacing w:line="480" w:lineRule="auto"/>
      </w:pPr>
      <w:r>
        <w:t>REVIEWER #1 COMMENTS AND RESPONSES</w:t>
      </w:r>
    </w:p>
    <w:p>
      <w:r>
        <w:rPr>
          <w:b/>
        </w:rPr>
        <w:t>1. Pathological Features</w:t>
      </w:r>
    </w:p>
    <w:p>
      <w:r>
        <w:t>Comment: "The pathological features of prostate biopsy specimens need to be provided, such as Gleason Score, tumor volume, PNI, unusual pattern, IDC, AIP, and treatment."</w:t>
      </w:r>
    </w:p>
    <w:p>
      <w:r>
        <w:rPr>
          <w:b/>
        </w:rPr>
        <w:t xml:space="preserve">Response: </w:t>
      </w:r>
      <w:r>
        <w:t xml:space="preserve">We thank the reviewer for this important suggestion. We have added a comprehensive description of the pathological features to the Results section. Across the 829 cores in the Phase I analytical cohort (851 slides as uploaded; 22 excluded per the canonical exclude-list of duplicate rescans, accidentally uploaded IHC stain slides, and slides where the Paige website did not run), 619 (74.7%) were benign and 209 (25.2%) contained adenocarcinoma. Across the 209 adenocarcinoma cores, the Gleason score distribution was: 3+3 (23.9%), 3+4 (16.3%), 4+3 (21.5%), 4+4 (16.7%), 4+5 (19.6%), 5+4/5+5 (2.0%). The corresponding ISUP Grade Group distribution across the same 209 adenocarcinoma cores was: Grade Group 1 (23.9%), Grade Group 2 (16.3%), Grade Group 3 (21.5%), Grade Group 4 (16.7%), Grade Group 5 (21.5%). PNI detection data has been added to the Results (see response to comment #5). </w:t>
      </w:r>
      <w:r>
        <w:t>Regarding unusual patterns (IDC, AIP), these were not systematically collected in our dataset, as the study focused on the standard diagnostic categories relevant to the Paige Prostate algorithm’s intended use. All cases were treatment-naïve. These limitations have been explicitly acknowledged in the revised Conclusions section.</w:t>
      </w:r>
    </w:p>
    <w:p>
      <w:r>
        <w:rPr>
          <w:b/>
        </w:rPr>
        <w:br/>
        <w:t>2. Pathologist Backgrounds</w:t>
      </w:r>
    </w:p>
    <w:p>
      <w:r>
        <w:t>Comment: "What are the backgrounds of 4 pathologists? How many years in practice? How many prostate biopsies do they diagnose per year?"</w:t>
      </w:r>
    </w:p>
    <w:p>
      <w:r>
        <w:rPr>
          <w:b/>
        </w:rPr>
        <w:t xml:space="preserve">Response: </w:t>
      </w:r>
      <w:r>
        <w:t>We have added a paragraph to the Materials and Methods section describing the pathologists’ backgrounds, including years of experience in surgical pathology and approximate annual prostate biopsy volumes. [Note: specific numbers to be inserted by authors before final submission.]</w:t>
      </w:r>
    </w:p>
    <w:p>
      <w:r>
        <w:rPr>
          <w:b/>
        </w:rPr>
        <w:br/>
        <w:t>3. Unusual Patterns</w:t>
      </w:r>
    </w:p>
    <w:p>
      <w:r>
        <w:t>Comment: "Are there any unusual patterns in prostatic adenocarcinoma, such atrophic, hyperplastic, mucinous, and foamy glands? Can the AI recognize these unusual patterns?"</w:t>
      </w:r>
    </w:p>
    <w:p>
      <w:r>
        <w:rPr>
          <w:b/>
        </w:rPr>
        <w:t xml:space="preserve">Response: </w:t>
      </w:r>
      <w:r>
        <w:t>This is an excellent question. The Paige Prostate algorithm was trained on whole-slide images using binary labels (benign vs. cancerous) derived from pathology reports, without specific annotations for unusual morphological variants. The FDA authorization is specifically for detection of areas suspicious for adenocarcinoma. Our cohort consisted of consecutive cases, and while unusual patterns such as atrophic, hyperplastic, mucinous, or foamy gland variants may have been present, they were not systematically catalogued or separately evaluated. The evaluation of AI performance on specific morphological variants would require a dedicated study design with enriched case selection. We have added this as a limitation in the revised manuscript.</w:t>
      </w:r>
    </w:p>
    <w:p>
      <w:r>
        <w:rPr>
          <w:b/>
        </w:rPr>
        <w:br/>
        <w:t>4. IDC, HGPIN, and Small Cell Carcinoma</w:t>
      </w:r>
    </w:p>
    <w:p>
      <w:r>
        <w:t>Comment: "How does the AI perform in areas of IDC, high-grade PIN, and small cell carcinoma?"</w:t>
      </w:r>
    </w:p>
    <w:p>
      <w:r>
        <w:rPr>
          <w:b/>
        </w:rPr>
        <w:t xml:space="preserve">Response: </w:t>
      </w:r>
      <w:r>
        <w:t>Paige Prostate is specifically designed and FDA-authorized for the detection of prostatic adenocarcinoma. The algorithm generates a binary output (“suspicious” vs. “not suspicious” for adenocarcinoma) and is not designed to separately identify intraductal carcinoma (IDC), high-grade prostatic intraepithelial neoplasia (HGPIN), or neuroendocrine/small cell carcinoma. In our cohort, no cases of small cell carcinoma were identified. It is plausible that areas of IDC or HGPIN may have been flagged as “suspicious” by the algorithm, but this was not specifically assessed. We have added this as a limitation in the revised manuscript and note that future studies specifically targeting these entities would be valuable.</w:t>
      </w:r>
    </w:p>
    <w:p>
      <w:r>
        <w:rPr>
          <w:b/>
        </w:rPr>
        <w:br/>
        <w:t>5. PNI and Extraprostatic Extension</w:t>
      </w:r>
    </w:p>
    <w:p>
      <w:r>
        <w:t>Comment: "Can the PI recognize perineural invasion and extraprostatic extension on prostate biopsy?"</w:t>
      </w:r>
    </w:p>
    <w:p>
      <w:r>
        <w:rPr>
          <w:b/>
        </w:rPr>
        <w:t xml:space="preserve">Response: </w:t>
      </w:r>
      <w:r>
        <w:t>We have added PNI data to the Results section. PNI detection rates among pathologists ranged from 2.7% to 5.2% without AI. The AI flagged PNI-related features in 15.6% of cores. Inter-observer agreement for PNI detection (Fleiss’ kappa) was 0.620 without AI and 0.655 with AI assistance. However, it is important to note that Paige Prostate’s primary function is adenocarcinoma detection and Gleason grading; PNI detection is not a validated feature of the algorithm. The higher AI flagging rate likely reflects areas where the algorithm detected perineural proximity rather than validated PNI. Regarding extraprostatic extension (EPE), this parameter is not typically assessable on core needle biopsies and was therefore not evaluated in our study.</w:t>
      </w:r>
    </w:p>
    <w:p>
      <w:r>
        <w:rPr>
          <w:b/>
        </w:rPr>
        <w:br/>
        <w:t>6. Treated Prostate Cancer</w:t>
      </w:r>
    </w:p>
    <w:p>
      <w:r>
        <w:t>Comment: "Can the AI recognize treated prostate cancer?"</w:t>
      </w:r>
    </w:p>
    <w:p>
      <w:r>
        <w:rPr>
          <w:b/>
        </w:rPr>
        <w:t xml:space="preserve">Response: </w:t>
      </w:r>
      <w:r>
        <w:t>All cases in our cohort were treatment-naïve prostate core needle biopsies. Therefore, we cannot comment on the AI’s performance in treated prostate cancer (eg, post-hormonal therapy or post-radiation). Treatment-related changes can significantly alter morphology, and the recognition of treated cancer would require separate validation. This has been noted as a limitation in the revised manuscript. Published data on Paige Prostate’s performance in treated specimens is limited, and we agree that this represents an important area for future investigation.</w:t>
      </w:r>
    </w:p>
    <w:p>
      <w:r>
        <w:rPr>
          <w:b/>
        </w:rPr>
        <w:br/>
        <w:t>7. NPV of 100% and Pathologist Review</w:t>
      </w:r>
    </w:p>
    <w:p>
      <w:r>
        <w:t>Comment: "If the AI can achieve a negative predictive value of 100%, is it still necessary for pathologists to review the negative biopsy slides?"</w:t>
      </w:r>
    </w:p>
    <w:p>
      <w:r>
        <w:rPr>
          <w:b/>
        </w:rPr>
        <w:t xml:space="preserve">Response: </w:t>
      </w:r>
      <w:r>
        <w:t>This is a thought-provoking question. While the AI achieved an NPV of 100% at the case-based level in our cohort, we strongly emphasize that pathologist review remains essential for several reasons:</w:t>
        <w:br/>
        <w:br/>
      </w:r>
      <w:r>
        <w:t>(1) The FDA authorization of Paige Prostate is specifically for use as a decision support tool adjunctive to pathologist review, not as a standalone diagnostic system.</w:t>
        <w:br/>
        <w:br/>
      </w:r>
      <w:r>
        <w:t>(2) The 100% case-based NPV was observed in a cohort of 60 consecutive cases. While highly encouraging, this sample size may not capture the full spectrum of potential false negatives that could occur in larger, more diverse populations.</w:t>
        <w:br/>
        <w:br/>
      </w:r>
      <w:r>
        <w:t>(3) Pathologists evaluate multiple features beyond cancer presence/absence that are clinically relevant, including inflammation, atrophy, high-grade PIN, benign mimics, and tissue adequacy—features that AI does not currently assess.</w:t>
        <w:br/>
        <w:br/>
      </w:r>
      <w:r>
        <w:t>(4) Regulatory and medicolegal frameworks currently require pathologist sign-off on all diagnostic reports.</w:t>
        <w:br/>
        <w:br/>
      </w:r>
      <w:r>
        <w:t>We view AI as a powerful “second reader” that enhances pathologist performance rather than replacing the pathologist’s comprehensive evaluation. This perspective is consistent with current consensus recommendations for AI deployment in clinical pathology.</w:t>
      </w:r>
    </w:p>
    <w:p>
      <w:r>
        <w:br w:type="page"/>
      </w:r>
    </w:p>
    <w:p>
      <w:pPr>
        <w:pStyle w:val="Heading2"/>
        <w:spacing w:line="480" w:lineRule="auto"/>
      </w:pPr>
      <w:r>
        <w:t>REVIEWER #2 COMMENTS AND RESPONSES</w:t>
      </w:r>
    </w:p>
    <w:p>
      <w:r>
        <w:rPr>
          <w:b/>
        </w:rPr>
        <w:t>1. Confirmation of Prior Studies / Validation</w:t>
      </w:r>
    </w:p>
    <w:p>
      <w:r>
        <w:t>Comment: "This study confirms findings provided in multiple prior publications. While it does not provide any novel information, at the very least it can serve as a validation set."</w:t>
      </w:r>
    </w:p>
    <w:p>
      <w:r>
        <w:rPr>
          <w:b/>
        </w:rPr>
        <w:t xml:space="preserve">Response: </w:t>
      </w:r>
      <w:r>
        <w:t>We appreciate this observation. We agree that our study contributes importantly as an independent external validation of the Paige Prostate system. Our study was conducted in a fundamentally different clinical setting—Memorial Hospitals Group in Istanbul, Turkey—using different scanners (Leica Aperio AT2), staining protocols, and pathologist demographics than prior validation studies conducted primarily in North America and Europe. Such real-world validation across diverse clinical environments is essential for establishing the generalizability and robustness of AI diagnostic tools. Furthermore, our study uniquely evaluates the impact of AI on interobserver agreement using a crossover design with a washout period, providing paired data that strengthen causal inference about the effect of AI on diagnostic consistency.</w:t>
      </w:r>
    </w:p>
    <w:p>
      <w:r>
        <w:rPr>
          <w:b/>
        </w:rPr>
        <w:br/>
        <w:t>2. Grade Group and Risk Grouping</w:t>
      </w:r>
    </w:p>
    <w:p>
      <w:r>
        <w:t>Comment: "It would be useful to know how AI influenced grade grouping but also risk grouping... I understand the investigators will need to gather additional data, specifically, pre-biopsy serum PSA and clinical stage."</w:t>
      </w:r>
    </w:p>
    <w:p>
      <w:r>
        <w:rPr>
          <w:b/>
        </w:rPr>
        <w:t xml:space="preserve">Response: </w:t>
      </w:r>
      <w:r>
        <w:t>We thank the reviewer for this excellent suggestion. Regarding Grade Group analysis, we have added ISUP Grade Group data to the manuscript on two clearly separated denominators. (1) Cohort prevalence is reported on the 209 Phase I adenocarcinoma cores: Grade Group 1 (23.9%), Grade Group 2 (16.3%), Grade Group 3 (21.5%), Grade Group 4 (16.7%), Grade Group 5 (21.5%). (2) All AI-effect analyses are reported on the Phase II inter-rater complete-cases subset (n = 138 cores), defined as cores for which the reference, original report, AI, and all four pathologists in both conditions produced a parseable Gleason score. This is the only subset on which a paired AI-vs-noAI comparison is unbiased; it is the same denominator the original manuscript used for the Fleiss’ kappa.</w:t>
        <w:br/>
        <w:br/>
        <w:t>To avoid any ambiguity about what is being compared: the reference Grade Group is the senior expert / research diagnosis (column research_pattern1/2 in the Phase I dataset, set by the senior pathologist’s expert re-grading of AI-vs-report discrepancies; for non-discrepant cores the original report grade is carried, which equals the AI grade by definition). The AI (Paige Prostate) is one of the interpreters being evaluated against that reference, alongside the original report and the four pathologists in two conditions; it is never used as the gold standard. Light’s kappa, reported below, is the one multi-rater metric that ignores the reference and measures only how much the four pathologists agree with each other.</w:t>
        <w:br/>
        <w:br/>
        <w:t>On the same 138-core subset, pooled across the four pathologists, exact agreement with the reference Grade Group rose from 49.5% to 52.7%, within-one-Grade-Group agreement rose from 85.7% to 90.8%, mean absolute Grade Group error fell from 0.66 to 0.57, and the pooled quadratic-weighted Cohen’s kappa rose from 0.763 to 0.805.</w:t>
        <w:br/>
        <w:br/>
        <w:t>Per-pathologist transitions and accuracy (no-AI → with-AI on the same 138 cores):</w:t>
        <w:br/>
        <w:t>• Pathologist 1 — revised the Grade Group on 44/138 cores (36 moved closer to the reference, 7 farther). Exact agreement 47.8% → 58% (Δ +10.1 pp), weighted kappa 0.728 → 0.81, McNemar P = .011.</w:t>
        <w:br/>
        <w:t>• Pathologist 2 — revised the Grade Group on 51/138 cores (26 moved closer to the reference, 25 farther). Exact agreement 50.7% → 48.6% (Δ -2.2 pp), weighted kappa 0.828 → 0.819, McNemar P = .755.</w:t>
        <w:br/>
        <w:t>• Pathologist 3 — revised the Grade Group on 69/138 cores (37 moved closer to the reference, 21 farther). Exact agreement 46.4% → 52.2% (Δ +5.8 pp), weighted kappa 0.714 → 0.796, McNemar P = .291.</w:t>
        <w:br/>
        <w:t>• Pathologist 4 — revised the Grade Group on 81/138 cores (35 moved closer to the reference, 39 farther). Exact agreement 52.9% → 52.2% (Δ -0.7 pp), weighted kappa 0.81 → 0.793, McNemar P = 1.000.</w:t>
        <w:br/>
        <w:br/>
        <w:t>Multi-rater agreement on the same 138 cores improved on every metric we computed: Fleiss’ kappa over the four pathologists plus the reference rose from 0.322 to 0.477 (P &lt; .001), and Light’s kappa (the mean pairwise quadratic-weighted kappa across the four pathologists, independent of the reference) rose from 0.681 (range 0.571–0.805) to 0.875 (range 0.857–0.915). The collapsed pairwise range is the most direct evidence that AI compressed between-pathologist variability — every pair of readers agreed on Grade Group at least as well as the strongest pair did at baseline. Taken together, the two pathologists with the lowest baseline reference agreement (P1 and P3) gained both in exact match and in weighted kappa, while the two readers with already-high baseline weighted kappa (P2 and P4) showed essentially unchanged exact match but tighter pairwise agreement with their colleagues — consistent with AI acting predominantly as a calibration aid that narrows between-reader variability rather than uniformly raising every reader’s accuracy.</w:t>
        <w:br/>
        <w:br/>
      </w:r>
      <w:r>
        <w:t>Regarding risk grouping: We acknowledge that full risk stratification according to AUA/EAU guidelines requires integration of serum PSA, clinical stage (TNM), and Grade Group. Pre-biopsy PSA values and clinical staging data were not available in our dataset. However, we have now analyzed the pathology-assessable components of risk stratification—specifically, the number of positive (malignant) biopsy cores per case, which is a key criterion in distinguishing risk groups (eg, &lt;3 positive cores for Very Low risk; ≥50% positive cores for Intermediate-unfavorable; &gt;4 high-grade cores for Very High risk).</w:t>
        <w:br/>
        <w:br/>
      </w:r>
      <w:r>
        <w:t>With AI assistance, the exact match of pathologist-determined positive core counts with the reference diagnosis improved from 70.4% to 82.9% (averaged across all four pathologists). When categorized into risk-relevant thresholds (no positive cores, &lt;3 positive cores, 3+ cores with &lt;50% positive, and ≥50% positive cores), category concordance with the reference increased from 86.7% to 95%. Among cases where AI changed the positive core count, 75–94% of changes moved the count closer to the reference diagnosis. These changes were statistically significant for three of four pathologists (Wilcoxon signed-rank test). These findings have been added to the Results section of the revised manuscript.</w:t>
        <w:br/>
        <w:br/>
      </w:r>
      <w:r>
        <w:t>While these data do not constitute a complete risk stratification analysis, they demonstrate that AI improves the accuracy of pathology-assessable components that feed into risk group classification. We have noted in the Discussion that future studies incorporating PSA and clinical staging data would enable a full evaluation of AI’s impact on risk group assignment.</w:t>
      </w:r>
    </w:p>
    <w:p>
      <w:r>
        <w:rPr>
          <w:b/>
        </w:rPr>
        <w:br/>
        <w:t>3. Case Variability and Tumor Focus Size</w:t>
      </w:r>
    </w:p>
    <w:p>
      <w:r>
        <w:t>Comment: "Does correlation with Gleason grade and grade groups differ with the size (length) of the focus of tumor? Is the coefficient of correlation lower in cases where the secondary Gleason pattern is minimal (5%-10%)?"</w:t>
      </w:r>
    </w:p>
    <w:p>
      <w:r>
        <w:rPr>
          <w:b/>
        </w:rPr>
        <w:t xml:space="preserve">Response: </w:t>
      </w:r>
      <w:r>
        <w:t xml:space="preserve">We appreciate this insightful question. We have analyzed diagnostic agreement stratified by tumor percentage category. For cores with large tumor involvement (≥20%, n=176), complete agreement was 90.9% without AI and improved to 97.2% with AI. For cores without tumor (n=573), complete agreement among all four pathologists was 75.1% without AI and 93.5% with AI assistance. </w:t>
        <w:br/>
        <w:br/>
        <w:t>Regarding the secondary Gleason pattern, we acknowledge that our data did not include quantitative measurements of tumor focus length or precise percentage contribution of the secondary pattern. As noted in the manuscript, secondary pattern assessment consistently showed the lowest agreement among all grading components, which aligns with the reviewer’s concern about the challenge of identifying minimal secondary patterns. Tumor percentage was collected in 10% increments per CAP guidelines, but absolute focus dimensions were not recorded. We agree that dedicated studies with quantitative morphometric data would be valuable to address this question more precisely.</w:t>
      </w:r>
    </w:p>
    <w:p>
      <w:r>
        <w:rPr>
          <w:b/>
        </w:rPr>
        <w:br/>
        <w:t>4. IHC Usage Patterns</w:t>
      </w:r>
    </w:p>
    <w:p>
      <w:r>
        <w:t>Comment: "How often would the reviewing pathologist be influenced to perform immunohistochemistry based on the AI findings? How often would they not perform immunohistochemistry based on the AI findings?"</w:t>
      </w:r>
    </w:p>
    <w:p>
      <w:r>
        <w:rPr>
          <w:b/>
        </w:rPr>
        <w:t xml:space="preserve">Response: </w:t>
      </w:r>
      <w:r>
        <w:t>We have added IHC request rate data to the Results section. In Phase II, pathologists categorized cases as “Benign,” “Suspicious (requiring IHC or consultation),” or “Malignant.” The overall rate of IHC requests decreased from 8.3% without AI to 2.8% with AI assistance, representing a 66% relative reduction. Consultation requests decreased from 0.9% to 0.3%. The combined rate of suspicious diagnoses (requiring either IHC or consultation) decreased from 9.2% to 3.2%.</w:t>
        <w:br/>
        <w:br/>
      </w:r>
      <w:r>
        <w:t>This reduction was observed across all four pathologists:</w:t>
        <w:br/>
        <w:t>• Pathologist 1: IHC requests decreased from 14.3% to 4.2%</w:t>
        <w:br/>
        <w:t>• Pathologist 2: from 4.5% to 2.2%</w:t>
        <w:br/>
        <w:t>• Pathologist 3: from 4.5% to 2.5%</w:t>
        <w:br/>
        <w:t>• Pathologist 4: from 9.9% to 2.4%</w:t>
        <w:br/>
        <w:br/>
      </w:r>
      <w:r>
        <w:t>These findings suggest that AI assistance increased diagnostic confidence, thereby reducing the perceived need for IHC confirmation in the majority of cases. However, as noted in the Discussion, in a small number of cases where AI raised suspicion in otherwise concordant benign cases, IHC was prompted to resolve the diagnostic uncertainty introduced by the AI output.</w:t>
        <w:br/>
        <w:br/>
      </w:r>
      <w:r>
        <w:t>To directly address whether AI influenced or suppressed IHC use, we performed a paired per-pathologist analysis using McNemar’s test on the 806 cores that each pathologist read in both conditions. Decomposing the discordant pairs showed that resolution of previously ordered IHC dominated: across all four pathologists, 227 cores had IHC ordered without AI but not with AI, whereas AI prompted new IHC on only 51 cores (ratio ≈ 4.5:1). The reduction was statistically significant for each pathologist individually (all McNemar P ≤ .03).</w:t>
        <w:br/>
        <w:br/>
      </w:r>
      <w:r>
        <w:t>We also examined between-pathologist heterogeneity. Cochran’s Q test showed significant variation across the four pathologists at baseline (Q = 85.5, P &lt; .001), which was markedly attenuated with AI (Q = 11.4, P = .010). Pairwise McNemar comparisons (Holm-adjusted) showed that the two less experienced pathologists (Pathologists 1 and 4) each ordered IHC significantly more often than the two more experienced readers (Pathologists 2 and 3) at baseline, whereas Pathologists 2 and 3 did not differ from each other. A generalized linear mixed model (logit link; random intercepts for core and pathologist) with experience × AI interaction indicated that the less experienced pathologists derived a greater relative benefit from AI (interaction P &lt; .001). These results suggest that AI assistance not only reduces ancillary testing overall but also compresses between-pathologist variability, an effect that we have now added to both the Results and Discussion sections of the revised manuscript.</w:t>
      </w:r>
    </w:p>
    <w:p/>
    <w:p>
      <w:r>
        <w:rPr>
          <w:sz w:val="22"/>
        </w:rPr>
        <w:t>We hope that these revisions adequately address the concerns raised by the Editor and Reviewers. We believe the manuscript has been substantially strengthened by the additional data and clarifications provided.</w:t>
      </w:r>
    </w:p>
    <w:p>
      <w:r>
        <w:rPr>
          <w:sz w:val="22"/>
        </w:rPr>
        <w:br/>
        <w:t>Sincerely,</w:t>
        <w:br/>
        <w:br/>
        <w:t>The Authors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