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80" w:lineRule="auto"/>
        <w:jc w:val="center"/>
      </w:pPr>
      <w:r>
        <w:rPr>
          <w:b/>
          <w:sz w:val="28"/>
        </w:rPr>
        <w:t>Artificial Intelligence as a Second Reader in Prostate Core Needle Biopsies: The Effect on Diagnostic Agreement and Gleason Score</w:t>
      </w:r>
    </w:p>
    <w:p>
      <w:pPr>
        <w:spacing w:line="480" w:lineRule="auto"/>
        <w:jc w:val="center"/>
      </w:pPr>
    </w:p>
    <w:p>
      <w:pPr>
        <w:spacing w:line="480" w:lineRule="auto"/>
        <w:jc w:val="center"/>
      </w:pPr>
      <w:r>
        <w:rPr>
          <w:b/>
        </w:rPr>
        <w:t>Running Title:</w:t>
      </w:r>
    </w:p>
    <w:p>
      <w:pPr>
        <w:spacing w:line="480" w:lineRule="auto"/>
        <w:jc w:val="center"/>
      </w:pPr>
      <w:r>
        <w:t>Artificial Intelligence and Gleason Grading Agreement</w:t>
      </w:r>
    </w:p>
    <w:p>
      <w:r>
        <w:br w:type="page"/>
      </w:r>
    </w:p>
    <w:p>
      <w:pPr>
        <w:pStyle w:val="Heading1"/>
        <w:spacing w:line="480" w:lineRule="auto"/>
      </w:pPr>
      <w:r>
        <w:t>Abstract</w:t>
      </w:r>
    </w:p>
    <w:p>
      <w:pPr>
        <w:spacing w:line="480" w:lineRule="auto"/>
      </w:pPr>
      <w:r>
        <w:rPr>
          <w:b/>
          <w:color w:val="FF0000"/>
        </w:rPr>
        <w:t>Context</w:t>
      </w:r>
    </w:p>
    <w:p>
      <w:pPr>
        <w:spacing w:line="480" w:lineRule="auto"/>
      </w:pPr>
      <w:r>
        <w:rPr>
          <w:color w:val="FF0000"/>
        </w:rPr>
        <w:t>Context.—Artificial intelligence (AI)–based tools for prostate cancer detection have shown promising diagnostic performance, but their impact on interobserver agreement and Gleason grading consistency requires validation across diverse clinical settings and pathologist populations.</w:t>
      </w:r>
    </w:p>
    <w:p>
      <w:pPr>
        <w:spacing w:line="480" w:lineRule="auto"/>
      </w:pPr>
      <w:r>
        <w:rPr>
          <w:b/>
        </w:rPr>
        <w:t>Objective</w:t>
      </w:r>
    </w:p>
    <w:p>
      <w:pPr>
        <w:spacing w:line="480" w:lineRule="auto"/>
      </w:pPr>
      <w:r>
        <w:rPr>
          <w:strike/>
        </w:rPr>
        <w:t>Artificial intelligence (AI)–based decision-support tools are increasingly incorporated into prostate pathology. This study aimed to assess the effect of AI assistance using the PaigeProstate algorithm on diagnostic agreement and Gleason grading consistency in prostate core needle biopsy (CNB) evaluation.</w:t>
      </w:r>
    </w:p>
    <w:p>
      <w:pPr>
        <w:spacing w:line="480" w:lineRule="auto"/>
      </w:pPr>
      <w:r>
        <w:rPr>
          <w:color w:val="FF0000"/>
        </w:rPr>
        <w:t>Objective.—To evaluate the effect of the Paige Prostate AI on diagnostic agreement and Gleason grading consistency in prostate core needle biopsy (CNB) interpretation.</w:t>
      </w:r>
    </w:p>
    <w:p>
      <w:pPr>
        <w:spacing w:line="480" w:lineRule="auto"/>
      </w:pPr>
      <w:r>
        <w:rPr>
          <w:b/>
        </w:rPr>
        <w:t>Design</w:t>
      </w:r>
    </w:p>
    <w:p>
      <w:pPr>
        <w:spacing w:line="480" w:lineRule="auto"/>
      </w:pPr>
      <w:r>
        <w:t xml:space="preserve">A total of 829 hematoxylin and eosin–stained whole-slide images from 60 consecutive prostate CNB cases were retrospectively analyzed. In Phase I, AI outputs were compared with original pathology reports and final diagnoses after immunohistochemistry-supported review. In Phase II, </w:t>
      </w:r>
      <w:r>
        <w:rPr>
          <w:color w:val="FF0000"/>
        </w:rPr>
        <w:t xml:space="preserve">four </w:t>
      </w:r>
      <w:r>
        <w:t xml:space="preserve">pathologists independently evaluated all cases without AI assistance, followed by a </w:t>
      </w:r>
      <w:r>
        <w:rPr>
          <w:color w:val="FF0000"/>
        </w:rPr>
        <w:t xml:space="preserve">2-week </w:t>
      </w:r>
      <w:r>
        <w:rPr>
          <w:strike/>
        </w:rPr>
        <w:t xml:space="preserve">two-week </w:t>
      </w:r>
      <w:r>
        <w:t>washout period and re-evaluation with AI support. Interobserver agreement and Gleason grading were compared.</w:t>
      </w:r>
    </w:p>
    <w:p>
      <w:pPr>
        <w:spacing w:line="480" w:lineRule="auto"/>
      </w:pPr>
      <w:r>
        <w:rPr>
          <w:b/>
        </w:rPr>
        <w:t>Results</w:t>
      </w:r>
    </w:p>
    <w:p>
      <w:pPr>
        <w:spacing w:line="480" w:lineRule="auto"/>
      </w:pPr>
      <w:r>
        <w:t xml:space="preserve">In Phase I, concordance between AI output and pathology reports was 96.5% at the core level (Cohen’s κ = 0.909, </w:t>
      </w:r>
      <w:r>
        <w:rPr>
          <w:i/>
          <w:color w:val="FF0000"/>
        </w:rPr>
        <w:t>P</w:t>
      </w:r>
      <w:r>
        <w:rPr>
          <w:strike/>
        </w:rPr>
        <w:t>p</w:t>
      </w:r>
      <w:r>
        <w:t xml:space="preserve"> &lt; .0001). AI achieved negative predictive values of 99.8% (core-based) and 100% (case-based). In Phase II, interobserver agreement improved from 73% without AI (Fleiss’ κ = 0.69, </w:t>
      </w:r>
      <w:r>
        <w:rPr>
          <w:i/>
          <w:color w:val="FF0000"/>
        </w:rPr>
        <w:t>P</w:t>
      </w:r>
      <w:r>
        <w:rPr>
          <w:strike/>
        </w:rPr>
        <w:t>p</w:t>
      </w:r>
      <w:r>
        <w:t xml:space="preserve"> &lt; .001) to 91% with AI assistance (κ = 0.88, </w:t>
      </w:r>
      <w:r>
        <w:rPr>
          <w:i/>
          <w:color w:val="FF0000"/>
        </w:rPr>
        <w:t>P</w:t>
      </w:r>
      <w:r>
        <w:rPr>
          <w:strike/>
        </w:rPr>
        <w:t>p</w:t>
      </w:r>
      <w:r>
        <w:t xml:space="preserve"> &lt; .001). Fleiss’ κ increasing from 0.426 to 0.612 for primary Gleason pattern, from 0.318 to 0.542 for Gleason score, and from 0.322 to 0.477 for ISUP grade group (all </w:t>
      </w:r>
      <w:r>
        <w:rPr>
          <w:i/>
          <w:color w:val="FF0000"/>
        </w:rPr>
        <w:t>P</w:t>
      </w:r>
      <w:r>
        <w:rPr>
          <w:strike/>
        </w:rPr>
        <w:t>p</w:t>
      </w:r>
      <w:r>
        <w:t xml:space="preserve"> &lt; .001).</w:t>
      </w:r>
      <w:r>
        <w:rPr>
          <w:strike/>
        </w:rPr>
        <w:t xml:space="preserve"> &lt; 0.0000001).</w:t>
      </w:r>
    </w:p>
    <w:p>
      <w:pPr>
        <w:spacing w:line="480" w:lineRule="auto"/>
      </w:pPr>
      <w:r>
        <w:rPr>
          <w:b/>
        </w:rPr>
        <w:t>Conclusion</w:t>
      </w:r>
      <w:r>
        <w:rPr>
          <w:b/>
          <w:strike/>
        </w:rPr>
        <w:t>s</w:t>
      </w:r>
      <w:r>
        <w:rPr>
          <w:b/>
          <w:color w:val="FF0000"/>
        </w:rPr>
        <w:t>s</w:t>
      </w:r>
    </w:p>
    <w:p>
      <w:pPr>
        <w:spacing w:line="480" w:lineRule="auto"/>
      </w:pPr>
      <w:r>
        <w:t>AI assistance was associated with improved diagnostic agreement and Gleason grading consistency in prostate CNB interpretation, supporting its role as a complementary tool in routine diagnostic practice.</w:t>
      </w:r>
    </w:p>
    <w:p>
      <w:r>
        <w:br w:type="page"/>
      </w:r>
    </w:p>
    <w:p>
      <w:pPr>
        <w:pStyle w:val="Heading1"/>
        <w:spacing w:line="480" w:lineRule="auto"/>
      </w:pPr>
      <w:r>
        <w:t>Introduction</w:t>
      </w:r>
    </w:p>
    <w:p>
      <w:pPr>
        <w:spacing w:line="480" w:lineRule="auto"/>
      </w:pPr>
      <w:r>
        <w:t>The integration of artificial intelligence (AI) into diagnostics has emerged as a transformative advancement in digital pathology. Prostate cancer is an ideal target for AI algorithms because of its high incidence among males, its large routine coverage, the availability of quantitative assessments and Gleason grade/score, a long-standing metric with high variability in inter-observer agreement. Therefore, a significant milestone in this field was the approval by the US Food and Drug Administration (FDA) of Paige Prostate AI, a clinical-grade AI tool created by Campanella et al for the secondary review of prostate cancer diagnoses made through core needle biopsies (CNB).</w:t>
      </w:r>
    </w:p>
    <w:p>
      <w:pPr>
        <w:spacing w:line="480" w:lineRule="auto"/>
      </w:pPr>
      <w:r>
        <w:t>The diagnosis of prostate cancer in CNB can sometimes be challenging, and immunohistochemical staining can help to examine suspicious areas and improve cancer detection. However, if small carcinoma foci are overlooked/missed during the initial assessment, further testing is often not followed. Given that histopathological parameters such as, the number of positive core biopsies, Gleason grade/score, and tumor extent are critical for accurate risk stratification and determining the appropriate disease management strategy for patients newly diagnosed with non-metastatic prostate cancer, AI algorithms can assist pathologists by detecting all tumor foci and accurately assessing these parameters. Moreover, one of the key goals of AI algorithms should be to minimize inter-observer variability, thereby ensuring more consistent and reliable assessments.</w:t>
      </w:r>
    </w:p>
    <w:p>
      <w:pPr>
        <w:spacing w:line="480" w:lineRule="auto"/>
      </w:pPr>
      <w:r>
        <w:t>In line with this, several recent studies highlight the benefits of AI-based diagnostic tools in prostate cancer, including enhanced detection, accurate quantification, consistent grading, enhanced interobserver agreement, time efficiency, and the potential to diminish pathologists’ workload. However, AI models in pathology are often trained on data from a limited number of cases, which can be a limiting factor for their applicability in routine pathology examination. The more these algorithms are tested on cases in different pathology laboratories, the better their applicability can be analyzed. Over the past three years, we have integrated digital pathology into routine diagnostics, optimized digital laboratory workflows, and evaluated image analysis solutions. The study aimed to investigate the contribution of the PaigeProstat</w:t>
      </w:r>
      <w:r>
        <w:rPr>
          <w:color w:val="FF0000"/>
        </w:rPr>
        <w:t>e</w:t>
      </w:r>
      <w:r>
        <w:t xml:space="preserve"> AI application in prostate CNB to the diagnosis of prostate cancer and interobserver agreement.</w:t>
      </w:r>
    </w:p>
    <w:p>
      <w:r>
        <w:br w:type="page"/>
      </w:r>
    </w:p>
    <w:p>
      <w:pPr>
        <w:pStyle w:val="Heading1"/>
        <w:spacing w:line="480" w:lineRule="auto"/>
      </w:pPr>
      <w:r>
        <w:t>Materials and Methods</w:t>
      </w:r>
    </w:p>
    <w:p>
      <w:pPr>
        <w:spacing w:line="480" w:lineRule="auto"/>
      </w:pPr>
      <w:r>
        <w:rPr>
          <w:b/>
        </w:rPr>
        <w:t>Preparation of images</w:t>
      </w:r>
    </w:p>
    <w:p>
      <w:pPr>
        <w:spacing w:line="480" w:lineRule="auto"/>
      </w:pPr>
      <w:r>
        <w:t>Eight hundred thirty-six prostate hematoxylin and eosin (H&amp;E) slides from 60 consecutive CNB cases with whole slide images from Memorial Healthcare Group (İstanbul, Türkiye), Pathology Department Archive were included. H&amp;E slides were scanned by the Leica Aperio AT2 scanner with 20× or 40× magnification. To simulate a routine workflow, the cases were anonymized with the svs-deidentifier program (Ref: Pearce, T. (2020). svs-deidentifier (Version 0.9.1) [Computer software]) and imported into the Paige system as virtual patients.</w:t>
      </w:r>
    </w:p>
    <w:p>
      <w:pPr>
        <w:spacing w:line="480" w:lineRule="auto"/>
      </w:pPr>
      <w:r>
        <w:t>Paige Prostate is a deep learning system trained on approximately 30,000 whole-slide images (WSIs) of prostate biopsies from over 6,700 patients diagnosed at Memorial Sloan Kettering Cancer Center (NYC, NY, USA). Utilizing multiple-instance learning, an approach whereby only WSI-level binary labels (benign vs. cancerous) are applied. These labels are derived from the pathology reports, which condense all steps in the diagnostic process, like the use of immunohistochemistry (IHC), additional recuts, or second opinions. Only H&amp;E WSIs were used in the training. These slide-level labels eliminate the need for manual pixel-level annotations. During inference, Paige Prostate generates a continuous suspicion score for each WSI; scores exceeding a defined threshold trigger a “suspicious” classification and identify the specific focal area with the strongest statistical evidence of malignancy (histological features of adenocarcinoma or glandular atypia, such as focal glandular atypia (FGA), high-grade prostatic intraepithelial neoplasia with adjacent atypical glands (PIN-ATYP), or atypical small acinar proliferation (ASAP)). In the absence of these lesions, the algorithm categorizes the slide as “not suspicious” for prostate adenocarcinoma. Simultaneously, the grading and quantification of adenocarcinomas aim to evaluate the Gleason score, including primary and secondary Gleason patterns in each CNB. Further details have been published by Campanella et al.</w:t>
      </w:r>
    </w:p>
    <w:p>
      <w:pPr>
        <w:spacing w:line="480" w:lineRule="auto"/>
      </w:pPr>
      <w:r>
        <w:rPr>
          <w:b/>
        </w:rPr>
        <w:t>Study design</w:t>
      </w:r>
    </w:p>
    <w:p>
      <w:pPr>
        <w:spacing w:line="480" w:lineRule="auto"/>
      </w:pPr>
      <w:r>
        <w:t>The study was conducted in two phases. In Phase I, the diagnoses in the report were retrieved by an expert pathologist and compared with the AI analysis output. The design of Phase I is summarized in Figure 1.</w:t>
      </w:r>
    </w:p>
    <w:p>
      <w:pPr>
        <w:spacing w:line="480" w:lineRule="auto"/>
      </w:pPr>
      <w:r>
        <w:rPr>
          <w:i/>
        </w:rPr>
        <w:t>[Insert Figure 1 here]</w:t>
      </w:r>
    </w:p>
    <w:p>
      <w:pPr>
        <w:spacing w:line="480" w:lineRule="auto"/>
      </w:pPr>
      <w:r>
        <w:t>In Phase II, four pathologists, blinded to the original diagnosis and scores, initially reviewed the cases without AI assistance. After a 2-week washout period, the AI modules were activated on the Paige interface, and the pathologists re-evaluated the cases with AI assistance.</w:t>
      </w:r>
    </w:p>
    <w:p>
      <w:pPr>
        <w:spacing w:line="480" w:lineRule="auto"/>
      </w:pPr>
      <w:r>
        <w:rPr>
          <w:color w:val="FF0000"/>
        </w:rPr>
        <w:t>The four participating pathologists were board-certified in anatomical pathology with [PLACEHOLDER: X, Y, Z, W] years of experience in surgical pathology, respectively. They routinely evaluate approximately [PLACEHOLDER: A, B, C, D] prostate needle biopsies per year in their clinical practice. None of the pathologists had subspecialty training in urological pathology.</w:t>
      </w:r>
    </w:p>
    <w:p>
      <w:pPr>
        <w:spacing w:line="480" w:lineRule="auto"/>
      </w:pPr>
      <w:r>
        <w:t>Pathologists independently completed a standardized Google sheet while blinded to each other’s diagnoses, IHC results, and previous reports. When evaluating each core, they recorded the timestamp by clicking on a cell and then filled in the presence or absence of tumor, as well as its characteristics, as they would in a routine workflow. When the assessment finished, they clicked on another cell to record the finishing time. In the second assessment, they were not given access to previous sheets. The pathologists used the AI interface in their evaluation. They were asked to evaluate the necessity of AI and its helpfulness, and to record any comments. They were forced to diagnose categorically as “Benign, Suspicious (requiring either IHC or consultation), Malignant.”</w:t>
      </w:r>
    </w:p>
    <w:p>
      <w:pPr>
        <w:spacing w:line="480" w:lineRule="auto"/>
      </w:pPr>
      <w:r>
        <w:t>The results were analyzed to identify changes in diagnosis and level of agreement before and after the use of AI, as well as the time taken for each core and the degree of subjectivity in pathologists’ evaluations. The time taken for evaluation, requests for IHC, the need for consultation, and the level of agreement among pathologists were also compared, as were the AI results.</w:t>
      </w:r>
    </w:p>
    <w:p>
      <w:pPr>
        <w:spacing w:line="480" w:lineRule="auto"/>
      </w:pPr>
      <w:r>
        <w:rPr>
          <w:b/>
        </w:rPr>
        <w:t>Statistical analysis</w:t>
      </w:r>
    </w:p>
    <w:p>
      <w:pPr>
        <w:spacing w:line="480" w:lineRule="auto"/>
      </w:pPr>
      <w:r>
        <w:t>Diagnoses and agreements were given as contingency tables with proportions. Diagnoses were categorized as benign, suspicious, and malignant, and later regrouped as benign vs others. For Phase I, interrater reliability between the report diagnosis and AI diagnosis was compared using Cohen’s kappa test and agreement percentage. After reevaluating cases with immunohistochemistry, a reference diagnosis is defined for each core. Using this reference diagnosis, the medical decision test statistics (sensitivity, specificity, positive predictive value (PPV), and negative predictive value (NPV)) were calculated for the AI model. Both interrater reliability and decision test statistics were calculated separately for case-based and core-based analyses.</w:t>
      </w:r>
    </w:p>
    <w:p>
      <w:pPr>
        <w:spacing w:line="480" w:lineRule="auto"/>
      </w:pPr>
      <w:r>
        <w:t>For Phase II, interrater reliability among pathologists with and without using AI was compared using the Fleiss kappa test and agreement percentage. Both case-based and core-based comparisons were made. The diagnosis time for each core with and without using AI was compared using the Wilcoxon Signed-Rank Test. The diagnosis time for concordant and discordant cases was evaluated separately. Pathologists’ opinions and comments on the use of AI were recorded for each core. The duration of diagnosis was assessed on these cores. Tumor size ratio evaluations were categorized per CAP guidelines as 10% increments. The ratios were compared using Kendall-Tau correlation. Cores with changes in diagnosis with or without AI were noted and evaluated separately. Agreement on diagnosis and Gleason grade group with or without AI for each core was evaluated using Fleiss’ kappa statistics. Changes in the agreement percentage with AI usage were recorded.</w:t>
      </w:r>
    </w:p>
    <w:p>
      <w:pPr>
        <w:spacing w:line="480" w:lineRule="auto"/>
      </w:pPr>
      <w:r>
        <w:t xml:space="preserve">For evaluation, </w:t>
      </w:r>
      <w:r>
        <w:rPr>
          <w:i/>
          <w:color w:val="FF0000"/>
        </w:rPr>
        <w:t>P</w:t>
      </w:r>
      <w:r>
        <w:rPr>
          <w:strike/>
        </w:rPr>
        <w:t>p</w:t>
      </w:r>
      <w:r>
        <w:t xml:space="preserve"> &lt; .05 was considered significant. All analyses were done using the jamovi project (2024) (Version 2.6) [Computer Software] and R Core Team (2024). R: A Language and environment for statistical computing. (Version 4.4) [Computer software]. (R packages retrieved from CRAN snapshot 2024-08-07).</w:t>
      </w:r>
    </w:p>
    <w:p>
      <w:r>
        <w:br w:type="page"/>
      </w:r>
    </w:p>
    <w:p>
      <w:pPr>
        <w:pStyle w:val="Heading1"/>
        <w:spacing w:line="480" w:lineRule="auto"/>
      </w:pPr>
      <w:r>
        <w:t>Results</w:t>
      </w:r>
    </w:p>
    <w:p>
      <w:pPr>
        <w:spacing w:line="480" w:lineRule="auto"/>
      </w:pPr>
      <w:r>
        <w:t>Cases had a median of 13.5 blocks (min: 8–max: 22) and a total of 829 biopsy cores in the Phase I cohort. After excluding cores that could not be re-scored in the second-reader phase, 810 cores were re-read by all four pathologists with and without AI assistance in Phase II; of these, 138 cores had a parseable Gleason score from every interpreter and constitute the inter-rater complete-cases subset used for Fleiss’ kappa and the AI-effect comparisons.</w:t>
      </w:r>
    </w:p>
    <w:p>
      <w:pPr>
        <w:spacing w:line="480" w:lineRule="auto"/>
      </w:pPr>
      <w:r>
        <w:rPr>
          <w:color w:val="FF0000"/>
        </w:rPr>
        <w:t>Among the 829 cores evaluated against the reference diagnosis, 619 (74.7%) were benign, 209 (25.2%) contained adenocarcinoma, and 1 (0.1%) was atypical small acinar proliferation (ASAP). The Gleason score distribution across the 209 adenocarcinoma cores (original report grade retained as the final diagnosis for AI-concordant cores, with expert re-grading for AI-vs-report discrepancies) was: 3+3 in 50 cores (23.9%); 3+4 in 34 cores (16.3%); 4+3 in 45 cores (21.5%); 4+4 in 35 cores (16.7%); 4+5 in 41 cores (19.6%); 5+4/5+5 in 4 cores (2.0%). When collapsed into ISUP Grade Groups across the same 209 adenocarcinoma cores, the distribution was: Grade Group 1 (23.9%), Grade Group 2 (16.3%), Grade Group 3 (21.5%), Grade Group 4 (16.7%), and Grade Group 5 (21.5%). All cases were treatment-naïve prostate core needle biopsies.</w:t>
      </w:r>
    </w:p>
    <w:p>
      <w:pPr>
        <w:pStyle w:val="Heading2"/>
        <w:spacing w:line="480" w:lineRule="auto"/>
      </w:pPr>
      <w:r>
        <w:t>Phase I</w:t>
      </w:r>
    </w:p>
    <w:p>
      <w:pPr>
        <w:spacing w:line="480" w:lineRule="auto"/>
      </w:pPr>
      <w:r>
        <w:t xml:space="preserve">AI analysis demonstrated concordance with the pathology report diagnosis in 96.5% of cores (kappa = 0.909, </w:t>
      </w:r>
      <w:r>
        <w:rPr>
          <w:i/>
          <w:color w:val="FF0000"/>
        </w:rPr>
        <w:t>P</w:t>
      </w:r>
      <w:r>
        <w:rPr>
          <w:strike/>
        </w:rPr>
        <w:t>p</w:t>
      </w:r>
      <w:r>
        <w:t xml:space="preserve"> &lt; .0001). Among the 829 cores, 601 (72.5%) were classified as benign by both AI and the original pathology report, and 199 (24.0%) were classified as malignant by both. 1 core was labelled benign by AI but malignant in the report (Figure 2, A through C). Conversely, AI labelled 28 cores as suspicious for adenocarcinoma that were not reported as malignant. Reference diagnosis of those 28 cores after expert re-evaluation with IHC was: 18 benign, 1 atypical small acinar proliferation (ASAP), and 9 adenocarcinoma (Figures 3 through 5). The adenocarcinoma foci were minute and had low-grade Gleason patterns, with additional tumor foci present in other cores of the same cases. When evaluated on a case basis (60 cases), AI and the original report agreed in 54 cases (90%, kappa = 0.791); after final IHC confirmation, the agreement between AI and the reference diagnosis increased further (kappa = 0.94, </w:t>
      </w:r>
      <w:r>
        <w:rPr>
          <w:i/>
          <w:color w:val="FF0000"/>
        </w:rPr>
        <w:t>P</w:t>
      </w:r>
      <w:r>
        <w:rPr>
          <w:strike/>
        </w:rPr>
        <w:t>p</w:t>
      </w:r>
      <w:r>
        <w:t xml:space="preserve"> &lt; .0001). In this analysis, AI demonstrated overdiagnosis in 4 cases. The AI achieved high diagnostic performances with positive predictive values (PPV) of 92.1% and 90%, and negative predictive values (NPV) of 99.8% and 100%, and accuracies of 0.97 and 0.93 at the core-based and case-based analysis, respectively. For further comparisons, these updated results, confirmed with IHC, were used as the reference diagnosis.</w:t>
      </w:r>
    </w:p>
    <w:p>
      <w:pPr>
        <w:spacing w:line="480" w:lineRule="auto"/>
      </w:pPr>
      <w:r>
        <w:rPr>
          <w:i/>
        </w:rPr>
        <w:t>[Insert Figure 2, A through C here]</w:t>
      </w:r>
    </w:p>
    <w:p>
      <w:pPr>
        <w:spacing w:line="480" w:lineRule="auto"/>
      </w:pPr>
      <w:r>
        <w:rPr>
          <w:i/>
        </w:rPr>
        <w:t>[Insert Figure 3, A and B here]</w:t>
      </w:r>
    </w:p>
    <w:p>
      <w:pPr>
        <w:spacing w:line="480" w:lineRule="auto"/>
      </w:pPr>
      <w:r>
        <w:rPr>
          <w:i/>
        </w:rPr>
        <w:t>[Insert Figure 4 here]</w:t>
      </w:r>
    </w:p>
    <w:p>
      <w:pPr>
        <w:spacing w:line="480" w:lineRule="auto"/>
      </w:pPr>
      <w:r>
        <w:rPr>
          <w:i/>
        </w:rPr>
        <w:t>[Insert Figure 5 here]</w:t>
      </w:r>
    </w:p>
    <w:p>
      <w:pPr>
        <w:pStyle w:val="Heading2"/>
        <w:spacing w:line="480" w:lineRule="auto"/>
      </w:pPr>
      <w:r>
        <w:t>Phase II</w:t>
      </w:r>
    </w:p>
    <w:p>
      <w:pPr>
        <w:spacing w:line="480" w:lineRule="auto"/>
      </w:pPr>
      <w:r>
        <w:t xml:space="preserve">The interobserver agreement percentage among pathologists was 73% (kappa = 0.69, </w:t>
      </w:r>
      <w:r>
        <w:rPr>
          <w:i/>
          <w:color w:val="FF0000"/>
        </w:rPr>
        <w:t>P</w:t>
      </w:r>
      <w:r>
        <w:rPr>
          <w:strike/>
        </w:rPr>
        <w:t>p</w:t>
      </w:r>
      <w:r>
        <w:t xml:space="preserve"> &lt; .001) without AI assistance when the diagnostic categories were “Malignant,” “Benign,” and “Suspicious.” The agreement percentage increased to 91% with the integration of AI (kappa = 0.88, </w:t>
      </w:r>
      <w:r>
        <w:rPr>
          <w:i/>
          <w:color w:val="FF0000"/>
        </w:rPr>
        <w:t>P</w:t>
      </w:r>
      <w:r>
        <w:rPr>
          <w:strike/>
        </w:rPr>
        <w:t>p</w:t>
      </w:r>
      <w:r>
        <w:t xml:space="preserve"> &lt; .001), as shown in Figure 6, A and B</w:t>
      </w:r>
      <w:r>
        <w:rPr>
          <w:strike/>
        </w:rPr>
        <w:t>a</w:t>
      </w:r>
      <w:r>
        <w:t xml:space="preserve">. When diagnostic categories were further grouped as “Benign versus Others,” interobserver agreement without AI was 76% (kappa = 0.70, </w:t>
      </w:r>
      <w:r>
        <w:rPr>
          <w:i/>
          <w:color w:val="FF0000"/>
        </w:rPr>
        <w:t>P</w:t>
      </w:r>
      <w:r>
        <w:rPr>
          <w:strike/>
        </w:rPr>
        <w:t>p</w:t>
      </w:r>
      <w:r>
        <w:t xml:space="preserve"> &lt; .001), which increased to 93% with AI (kappa = 0.90, </w:t>
      </w:r>
      <w:r>
        <w:rPr>
          <w:i/>
          <w:color w:val="FF0000"/>
        </w:rPr>
        <w:t>P</w:t>
      </w:r>
      <w:r>
        <w:rPr>
          <w:strike/>
        </w:rPr>
        <w:t>p</w:t>
      </w:r>
      <w:r>
        <w:t xml:space="preserve"> &lt; .001)</w:t>
      </w:r>
      <w:r>
        <w:rPr>
          <w:strike/>
        </w:rPr>
        <w:t>, as shown in Figure 6b</w:t>
      </w:r>
      <w:r>
        <w:t>.</w:t>
      </w:r>
    </w:p>
    <w:p>
      <w:pPr>
        <w:spacing w:line="480" w:lineRule="auto"/>
      </w:pPr>
      <w:r>
        <w:rPr>
          <w:i/>
        </w:rPr>
        <w:t>[Insert Figure 6, A and B here]</w:t>
      </w:r>
    </w:p>
    <w:p>
      <w:pPr>
        <w:spacing w:line="480" w:lineRule="auto"/>
      </w:pPr>
      <w:r>
        <w:t>AI assistance led to changes in diagnoses across all pathologists, primarily characterized by an increase in benign diagnoses and a reduction in suspicious cases (as shown in Table 1). For Pathologist 1, benign diagnoses increased from 60% to 70%, malignant diagnoses from 23% to 24%, and suspicious diagnoses decreased from 17% to 6%, with accuracy improving from 0.95 to 0.98. For Pathologist 2, benign diagnoses increased from 71% to 73%, malignant diagnoses from 24% to 25%, and suspicious diagnoses decreased from 5% to 2%, with accuracy increasing from 0.97 to 0.98. For Pathologist 3, benign diagnoses increased from 73% to 74%, malignant diagnoses from 22% to 24%, and suspicious diagnoses decreased from 5% to 2%, accompanied by an accuracy increase from 0.94 to 0.97. For Pathologist 4, benign diagnoses increased from 65% to 73%, malignant diagnoses remained stable at 25%, suspicious diagnoses decreased from 10% to 2%, and accuracy improved from 0.96 to 0.97. Overall, across all pathologists, benign diagnoses increased from 67% to 72%, malignant diagnoses increased from 23% to 25%, and suspicious diagnoses decreased from 9.4% to 3.3%. These findings suggest that AI assistance significantly improves diagnostic accuracy and reduces uncertainty among pathologists.</w:t>
      </w:r>
    </w:p>
    <w:p>
      <w:pPr>
        <w:spacing w:line="480" w:lineRule="auto"/>
      </w:pPr>
      <w:r>
        <w:rPr>
          <w:i/>
        </w:rPr>
        <w:t>[Insert Table 1 here]</w:t>
      </w:r>
    </w:p>
    <w:p>
      <w:pPr>
        <w:spacing w:line="480" w:lineRule="auto"/>
      </w:pPr>
      <w:r>
        <w:rPr>
          <w:color w:val="FF0000"/>
        </w:rPr>
        <w:t>AI assistance was associated with a substantial reduction in immunohistochemistry (IHC) requests. Overall, the rate of IHC requests decreased from 8.3% without AI to 2.8% with AI assistance (a 5.5 percentage point reduction). Similarly, consultation requests decreased from 0.9% to 0.3%. The combined rate of ancillary testing (IHC or consultation) decreased from 9.2% to 3.2% with AI support.</w:t>
      </w:r>
    </w:p>
    <w:p>
      <w:pPr>
        <w:spacing w:line="480" w:lineRule="auto"/>
      </w:pPr>
      <w:r>
        <w:rPr>
          <w:b/>
          <w:color w:val="FF0000"/>
        </w:rPr>
        <w:t>Per-pathologist subgroup analysis.</w:t>
      </w:r>
      <w:r>
        <w:rPr>
          <w:color w:val="FF0000"/>
        </w:rPr>
        <w:t xml:space="preserve"> The reduction in IHC requests was consistent across all four pathologists, although its magnitude tracked baseline utilization. Pathologist 1 decreased from 14.3% to 4.2% (10 percentage points; 70.4% relative reduction; McNemar </w:t>
      </w:r>
      <w:r>
        <w:rPr>
          <w:i/>
          <w:color w:val="FF0000"/>
        </w:rPr>
        <w:t>P</w:t>
      </w:r>
      <w:r>
        <w:rPr>
          <w:color w:val="FF0000"/>
        </w:rPr>
        <w:t xml:space="preserve"> &lt; .001), and Pathologist 4 decreased from 9.9% to 2.4% (7.6 pp; 76.2% relative reduction; </w:t>
      </w:r>
      <w:r>
        <w:rPr>
          <w:i/>
          <w:color w:val="FF0000"/>
        </w:rPr>
        <w:t>P</w:t>
      </w:r>
      <w:r>
        <w:rPr>
          <w:color w:val="FF0000"/>
        </w:rPr>
        <w:t xml:space="preserve"> &lt; .001). The two pathologists with already lower baseline utilization also showed statistically significant reductions: Pathologist 2 from 4.5% to 2.2% (</w:t>
      </w:r>
      <w:r>
        <w:rPr>
          <w:i/>
          <w:color w:val="FF0000"/>
        </w:rPr>
        <w:t>P</w:t>
      </w:r>
      <w:r>
        <w:rPr>
          <w:color w:val="FF0000"/>
        </w:rPr>
        <w:t xml:space="preserve"> = .006) and Pathologist 3 from 4.5% to 2.5% (</w:t>
      </w:r>
      <w:r>
        <w:rPr>
          <w:i/>
          <w:color w:val="FF0000"/>
        </w:rPr>
        <w:t>P</w:t>
      </w:r>
      <w:r>
        <w:rPr>
          <w:color w:val="FF0000"/>
        </w:rPr>
        <w:t xml:space="preserve"> = .030). The direction of discordance was overwhelmingly toward resolution rather than new requests: across pathologists, 227 cores for which IHC had been requested without AI were resolved on review with AI, whereas AI triggered new IHC requests on only 51 cores (ratio 4.5:1). The combined ancillary-testing endpoint (IHC or consultation) decreased significantly for every pathologist (all </w:t>
      </w:r>
      <w:r>
        <w:rPr>
          <w:i/>
          <w:color w:val="FF0000"/>
        </w:rPr>
        <w:t>P</w:t>
      </w:r>
      <w:r>
        <w:rPr>
          <w:color w:val="FF0000"/>
        </w:rPr>
        <w:t xml:space="preserve"> ≤ .01).</w:t>
      </w:r>
    </w:p>
    <w:p>
      <w:pPr>
        <w:spacing w:line="480" w:lineRule="auto"/>
      </w:pPr>
      <w:r>
        <w:rPr>
          <w:b/>
          <w:color w:val="FF0000"/>
        </w:rPr>
        <w:t>Differences between pathologists and effect of experience.</w:t>
      </w:r>
      <w:r>
        <w:rPr>
          <w:color w:val="FF0000"/>
        </w:rPr>
        <w:t xml:space="preserve"> Baseline IHC utilization varied substantially across the four pathologists (Cochran Q = 85.5, df = 3, </w:t>
      </w:r>
      <w:r>
        <w:rPr>
          <w:i/>
          <w:color w:val="FF0000"/>
        </w:rPr>
        <w:t>P</w:t>
      </w:r>
      <w:r>
        <w:rPr>
          <w:color w:val="FF0000"/>
        </w:rPr>
        <w:t xml:space="preserve"> &lt; .001), ranging from 4.5% (Pathologists 2 and 3) to 14.3% (Pathologist 1). Pairwise McNemar comparisons (Holm-adjusted) showed that Pathologists 1 and 4 each requested IHC significantly more often than Pathologists 2 and 3 at baseline, whereas Pathologists 2 and 3 did not differ from each other. Grouping pathologists by experience level, the two less experienced readers (Pathologists 1 and 4) ordered IHC on 12.1% of cores without AI versus 4.47% for the two more experienced readers (Pathologists 2 and 3). With AI assistance this gap narrowed to 3.29% versus 2.36%, and between-pathologist heterogeneity decreased more than sevenfold (Cochran Q = 11.4, </w:t>
      </w:r>
      <w:r>
        <w:rPr>
          <w:i/>
          <w:color w:val="FF0000"/>
        </w:rPr>
        <w:t>P</w:t>
      </w:r>
      <w:r>
        <w:rPr>
          <w:color w:val="FF0000"/>
        </w:rPr>
        <w:t xml:space="preserve"> = .010). A generalized linear mixed model with random intercepts for core and pathologist confirmed a significant experience × AI interaction for IHC requests (</w:t>
      </w:r>
      <w:r>
        <w:rPr>
          <w:i/>
          <w:color w:val="FF0000"/>
        </w:rPr>
        <w:t>P</w:t>
      </w:r>
      <w:r>
        <w:rPr>
          <w:color w:val="FF0000"/>
        </w:rPr>
        <w:t xml:space="preserve"> &lt; .001); the odds-ratio reduction associated with AI was approximately 0.15 for less experienced pathologists versus 0.44 for more experienced pathologists. In practical terms, AI assistance did not merely reduce ancillary testing uniformly; it compressed between-pathologist variability and brought less experienced readers’ ancillary-testing behavior in line with that of their more experienced colleagues.</w:t>
      </w:r>
    </w:p>
    <w:p>
      <w:pPr>
        <w:spacing w:line="480" w:lineRule="auto"/>
      </w:pPr>
      <w:r>
        <w:t>To assess inter-observer agreement more precisely in terms of “benign,” “suspicious,” and “malignant,” cases were categorized into three groups: “complete agreement” (when all four observers concurred), “majority agreement” (when three of four observers concurred), and “no agreement.” Complete agreement was achieved in 78.9% of cores (597 cores), and this level of agreement remained unchanged following AI-assisted assessment. Before using Paige Prostate, 124 cores (16.4%) that had initially been classified as demonstrating majority agreement were reclassified as complete agreement. Additionally, 14 cores (28.6%) that had shown no agreement previously were upgraded to majority agreement. Conversely, a regression to no agreement was observed in three cores that had initially shown complete agreement. When the last three cores were evaluated, the ground truth diagnosis was benign for all three. However, the AI consistently flagged the cores as tumor present. The algorithm highlighted areas that were interpreted as suspicious, causing diagnostic uncertainty among pathologists. While some observers maintained a benign interpretation, others reclassified the same cores as suspicious or malignant. This resulted in a loss of interobserver agreement (see Figure 7, A through C).</w:t>
      </w:r>
    </w:p>
    <w:p>
      <w:pPr>
        <w:spacing w:line="480" w:lineRule="auto"/>
      </w:pPr>
      <w:r>
        <w:rPr>
          <w:i/>
        </w:rPr>
        <w:t>[Insert Figure 7, A through C here]</w:t>
      </w:r>
    </w:p>
    <w:p>
      <w:pPr>
        <w:spacing w:line="480" w:lineRule="auto"/>
      </w:pPr>
      <w:r>
        <w:rPr>
          <w:color w:val="FF0000"/>
        </w:rPr>
        <w:t xml:space="preserve">Diagnostic agreement was stratified by tumor percentage category. </w:t>
      </w:r>
      <w:r>
        <w:rPr>
          <w:color w:val="FF0000"/>
        </w:rPr>
        <w:t xml:space="preserve">For cores with large tumor foci (≥20% involvement), complete agreement increased from 90.9% without AI to 97.2% with AI assistance. </w:t>
      </w:r>
      <w:r>
        <w:rPr>
          <w:color w:val="FF0000"/>
        </w:rPr>
        <w:t xml:space="preserve">For cores without tumor, complete agreement was observed in 75.1% of cores without AI and 93.5% with AI assistance. </w:t>
      </w:r>
    </w:p>
    <w:p>
      <w:pPr>
        <w:spacing w:line="480" w:lineRule="auto"/>
      </w:pPr>
      <w:r>
        <w:rPr>
          <w:b/>
          <w:color w:val="FF0000"/>
        </w:rPr>
        <w:t>Impact of AI on Number of Involved Cores</w:t>
      </w:r>
    </w:p>
    <w:p>
      <w:pPr>
        <w:spacing w:line="480" w:lineRule="auto"/>
      </w:pPr>
      <w:r>
        <w:rPr>
          <w:color w:val="FF0000"/>
        </w:rPr>
        <w:t xml:space="preserve">Because the number of positive biopsy cores is a key parameter in prostate cancer risk stratification, we evaluated whether AI assistance changed the malignant core count per case. The mean number of malignant cores per case identified by the reference diagnosis was 3.42. With AI assistance, the exact match of pathologist-determined positive core counts with the reference diagnosis increased from 70.4% to 82.9% (averaged across all four pathologists). The mean absolute error in positive core count versus the reference decreased for all pathologists (eg, Pathologist 1: 0.48 to 0.2; Pathologist 3: 0.62 to 0.22). The change in positive core count with AI was statistically significant for three of four pathologists (Pathologist 1: = .008; Pathologist 2: = .042; Pathologist 3: = .024; Wilcoxon signed-rank test). </w:t>
      </w:r>
    </w:p>
    <w:p>
      <w:pPr>
        <w:spacing w:line="480" w:lineRule="auto"/>
      </w:pPr>
      <w:r>
        <w:rPr>
          <w:color w:val="FF0000"/>
        </w:rPr>
        <w:t>When the positive core count was categorized into risk-relevant thresholds (no positive cores, &lt;3 positive cores, 3 or more cores with &lt;50% positive, and ≥50% positive cores), concordance with the reference improved from 86.7% to 95% with AI assistance. Among cases where AI changed the positive core count, the change moved the count closer to the reference diagnosis in 16 of 17 cases (94%) for Pathologist 1, 15 of 16 (94%) for Pathologist 3, and 6 of 8 (75%) for Pathologist 2.</w:t>
      </w:r>
    </w:p>
    <w:p>
      <w:pPr>
        <w:pStyle w:val="Heading3"/>
        <w:spacing w:line="480" w:lineRule="auto"/>
      </w:pPr>
      <w:r>
        <w:t>Impact on Grading Consistency</w:t>
      </w:r>
    </w:p>
    <w:p>
      <w:pPr>
        <w:spacing w:line="480" w:lineRule="auto"/>
      </w:pPr>
      <w:r>
        <w:t xml:space="preserve">Across 138 cores assessed by </w:t>
      </w:r>
      <w:r>
        <w:rPr>
          <w:strike/>
        </w:rPr>
        <w:t>five</w:t>
      </w:r>
      <w:r>
        <w:rPr>
          <w:color w:val="FF0000"/>
        </w:rPr>
        <w:t>four</w:t>
      </w:r>
      <w:r>
        <w:t xml:space="preserve"> pathologists</w:t>
      </w:r>
      <w:r>
        <w:rPr>
          <w:color w:val="FF0000"/>
        </w:rPr>
        <w:t xml:space="preserve"> and the reference diagnosis</w:t>
      </w:r>
      <w:r>
        <w:t>, inter-rater agreement with the reference diagnoses varied by grading component and was consistently higher when AI assistance was applied (summarized in Table 2). For the Primary Gleason Pattern, Fleiss’ kappa increased from 0.426 (31.9% agreement) without AI to 0.612 (53.6% agreement) with AI support (</w:t>
      </w:r>
      <w:r>
        <w:rPr>
          <w:i/>
          <w:color w:val="FF0000"/>
        </w:rPr>
        <w:t>P</w:t>
      </w:r>
      <w:r>
        <w:rPr>
          <w:strike/>
        </w:rPr>
        <w:t>p</w:t>
      </w:r>
      <w:r>
        <w:t xml:space="preserve"> &lt; .001). Secondary Gleason Pattern showed lower concordance overall, with Fleiss’ kappa rising from 0.225 (14.5% agreement) to 0.330 (22.5% agreement) following AI assistance (</w:t>
      </w:r>
      <w:r>
        <w:rPr>
          <w:i/>
          <w:color w:val="FF0000"/>
        </w:rPr>
        <w:t>P</w:t>
      </w:r>
      <w:r>
        <w:rPr>
          <w:strike/>
        </w:rPr>
        <w:t>p</w:t>
      </w:r>
      <w:r>
        <w:t xml:space="preserve"> &lt; .001). For Gleason Score, multi-rater agreement without AI resulted in a Fleiss’ kappa of 0.318 (15.9% agreement), with pairwise quadratic weighted kappa values ranging from 0.288 to 0.691; with AI assistance, Fleiss’ kappa increased to 0.542 (38.4% agreement) and pairwise weighted kappa values ranged from 0.568 to 0.757 (</w:t>
      </w:r>
      <w:r>
        <w:rPr>
          <w:i/>
          <w:color w:val="FF0000"/>
        </w:rPr>
        <w:t>P</w:t>
      </w:r>
      <w:r>
        <w:rPr>
          <w:strike/>
        </w:rPr>
        <w:t>p</w:t>
      </w:r>
      <w:r>
        <w:t xml:space="preserve"> &lt; .001). For the ISUP Grade Group, Fleiss’ kappa increased from 0.322 (19.6% agreement) without AI to 0.477 (23.9% agreement) with AI assistance (</w:t>
      </w:r>
      <w:r>
        <w:rPr>
          <w:i/>
          <w:color w:val="FF0000"/>
        </w:rPr>
        <w:t>P</w:t>
      </w:r>
      <w:r>
        <w:rPr>
          <w:strike/>
        </w:rPr>
        <w:t>p</w:t>
      </w:r>
      <w:r>
        <w:t xml:space="preserve"> &lt; .001).</w:t>
      </w:r>
    </w:p>
    <w:p>
      <w:pPr>
        <w:spacing w:line="480" w:lineRule="auto"/>
      </w:pPr>
      <w:r>
        <w:rPr>
          <w:color w:val="FF0000"/>
        </w:rPr>
        <w:t>In the analyses below the reference Grade Group is the senior expert / research diagnosis (the final Gleason pattern recorded in research_pattern1/2 after expert re-grading of AI-vs-report discrepancies, with non-discrepant cores carrying the original report grade, which equals the AI grade by definition); the AI is one of the interpreters being evaluated against that reference, not the gold standard. Across the same 138 Phase II cores with complete grading from every interpreter, exact agreement of pathologist-assigned ISUP Grade Group with the reference rose from 49.5% without AI to 52.7% with AI when pooled across the four pathologists; within-one-Grade-Group agreement rose from 85.7% to 90.8%, mean absolute Grade Group error vs the reference fell from 0.66 to 0.57, and the pooled quadratic-weighted Cohen’s kappa improved from 0.763 to 0.805. Multi-rater agreement on the same subset increased markedly: Fleiss’ kappa over the four pathologists plus the reference rose from 0.322 to 0.477, and Light’s kappa (mean pairwise quadratic-weighted kappa across the four pathologists) rose from 0.681 (range 0.571–0.805) to 0.875 (range 0.857–0.915), indicating that AI assistance compressed between-pathologist variability in Grade Group assignment.</w:t>
      </w:r>
    </w:p>
    <w:p>
      <w:pPr>
        <w:spacing w:line="480" w:lineRule="auto"/>
      </w:pPr>
      <w:r>
        <w:rPr>
          <w:color w:val="FF0000"/>
        </w:rPr>
        <w:t xml:space="preserve">At the individual reader level, the transition pattern explains where the pooled improvement came from. </w:t>
      </w:r>
      <w:r>
        <w:rPr>
          <w:color w:val="FF0000"/>
        </w:rPr>
        <w:t xml:space="preserve">Pathologist 1 revised the Grade Group on 44 of 138 cores (closer to the reference on 36, farther on 7); exact agreement moved from 47.8% to 58% (Δ +10.1 pp, weighted kappa 0.728 → 0.81, McNemar </w:t>
      </w:r>
      <w:r>
        <w:rPr>
          <w:i/>
          <w:color w:val="FF0000"/>
        </w:rPr>
        <w:t>P</w:t>
      </w:r>
      <w:r>
        <w:rPr>
          <w:color w:val="FF0000"/>
        </w:rPr>
        <w:t xml:space="preserve"> = .011); </w:t>
      </w:r>
      <w:r>
        <w:rPr>
          <w:color w:val="FF0000"/>
        </w:rPr>
        <w:t xml:space="preserve">Pathologist 2 revised the Grade Group on 51 of 138 cores (closer to the reference on 26, farther on 25); exact agreement moved from 50.7% to 48.6% (Δ -2.2 pp, weighted kappa 0.828 → 0.819, McNemar </w:t>
      </w:r>
      <w:r>
        <w:rPr>
          <w:i/>
          <w:color w:val="FF0000"/>
        </w:rPr>
        <w:t>P</w:t>
      </w:r>
      <w:r>
        <w:rPr>
          <w:color w:val="FF0000"/>
        </w:rPr>
        <w:t xml:space="preserve"> = .755); </w:t>
      </w:r>
      <w:r>
        <w:rPr>
          <w:color w:val="FF0000"/>
        </w:rPr>
        <w:t xml:space="preserve">Pathologist 3 revised the Grade Group on 69 of 138 cores (closer to the reference on 37, farther on 21); exact agreement moved from 46.4% to 52.2% (Δ +5.8 pp, weighted kappa 0.714 → 0.796, McNemar </w:t>
      </w:r>
      <w:r>
        <w:rPr>
          <w:i/>
          <w:color w:val="FF0000"/>
        </w:rPr>
        <w:t>P</w:t>
      </w:r>
      <w:r>
        <w:rPr>
          <w:color w:val="FF0000"/>
        </w:rPr>
        <w:t xml:space="preserve"> = .291); </w:t>
      </w:r>
      <w:r>
        <w:rPr>
          <w:color w:val="FF0000"/>
        </w:rPr>
        <w:t xml:space="preserve">Pathologist 4 revised the Grade Group on 81 of 138 cores (closer to the reference on 35, farther on 39); exact agreement moved from 52.9% to 52.2% (Δ -0.7 pp, weighted kappa 0.81 → 0.793, McNemar </w:t>
      </w:r>
      <w:r>
        <w:rPr>
          <w:i/>
          <w:color w:val="FF0000"/>
        </w:rPr>
        <w:t>P</w:t>
      </w:r>
      <w:r>
        <w:rPr>
          <w:color w:val="FF0000"/>
        </w:rPr>
        <w:t xml:space="preserve"> = 1.000).</w:t>
      </w:r>
      <w:r>
        <w:rPr>
          <w:color w:val="FF0000"/>
        </w:rPr>
        <w:t xml:space="preserve"> The two pathologists with the lowest baseline reference agreement (Pathologists 1 and 3) showed the largest gains in exact match and weighted kappa, while Pathologists 2 and 4 — already at the highest baseline weighted kappa — showed essentially unchanged exact match but tighter pairwise agreement with their colleagues, consistent with AI acting predominantly as a calibration aid that narrows between-reader variability.</w:t>
      </w:r>
    </w:p>
    <w:p>
      <w:pPr>
        <w:spacing w:line="480" w:lineRule="auto"/>
      </w:pPr>
      <w:r>
        <w:rPr>
          <w:i/>
        </w:rPr>
        <w:t>[Insert Table 2 here]</w:t>
      </w:r>
    </w:p>
    <w:p>
      <w:pPr>
        <w:spacing w:line="480" w:lineRule="auto"/>
      </w:pPr>
      <w:r>
        <w:rPr>
          <w:b/>
          <w:color w:val="FF0000"/>
        </w:rPr>
        <w:t>Perineural Invasion Detection</w:t>
      </w:r>
    </w:p>
    <w:p>
      <w:pPr>
        <w:spacing w:line="480" w:lineRule="auto"/>
      </w:pPr>
      <w:r>
        <w:rPr>
          <w:color w:val="FF0000"/>
        </w:rPr>
        <w:t>Perineural invasion (PNI) detection rates varied across pathologists, ranging from 2.7% to 5.2% without AI assistance. The AI algorithm flagged PNI in 15.6% of cores. Inter-observer agreement for PNI detection showed a Fleiss’ kappa of 0.620 without AI, which increased to 0.655 with AI assistance. It is important to note that Paige Prostate is primarily designed for adenocarcinoma detection and Gleason grading; PNI detection is not a primary function of the algorithm, and the higher AI flagging rate likely reflects areas of perineural proximity rather than validated PNI detection.</w:t>
      </w:r>
    </w:p>
    <w:p>
      <w:pPr>
        <w:pStyle w:val="Heading3"/>
        <w:spacing w:line="480" w:lineRule="auto"/>
      </w:pPr>
      <w:r>
        <w:t>The Effect of AI Use on the Evaluation Time</w:t>
      </w:r>
    </w:p>
    <w:p>
      <w:pPr>
        <w:spacing w:line="480" w:lineRule="auto"/>
      </w:pPr>
      <w:r>
        <w:t xml:space="preserve">The mean and median diagnosis time for each core changed significantly. However, this change was heterogeneous among pathologists. In </w:t>
      </w:r>
      <w:r>
        <w:rPr>
          <w:color w:val="FF0000"/>
        </w:rPr>
        <w:t>Pathologist 1</w:t>
      </w:r>
      <w:r>
        <w:rPr>
          <w:strike/>
        </w:rPr>
        <w:t>P1</w:t>
      </w:r>
      <w:r>
        <w:t xml:space="preserve"> and </w:t>
      </w:r>
      <w:r>
        <w:rPr>
          <w:color w:val="FF0000"/>
        </w:rPr>
        <w:t>Pathologist 4</w:t>
      </w:r>
      <w:r>
        <w:rPr>
          <w:strike/>
        </w:rPr>
        <w:t>P4</w:t>
      </w:r>
      <w:r>
        <w:t xml:space="preserve">, the duration increased with AI use (mean: 39 vs. 45 seconds, </w:t>
      </w:r>
      <w:r>
        <w:rPr>
          <w:i/>
          <w:color w:val="FF0000"/>
        </w:rPr>
        <w:t>P</w:t>
      </w:r>
      <w:r>
        <w:rPr>
          <w:strike/>
        </w:rPr>
        <w:t>p</w:t>
      </w:r>
      <w:r>
        <w:t xml:space="preserve"> &lt; .001, and mean: 45 vs. 49 seconds, </w:t>
      </w:r>
      <w:r>
        <w:rPr>
          <w:i/>
          <w:color w:val="FF0000"/>
        </w:rPr>
        <w:t>P</w:t>
      </w:r>
      <w:r>
        <w:rPr>
          <w:strike/>
        </w:rPr>
        <w:t>p</w:t>
      </w:r>
      <w:r>
        <w:t xml:space="preserve"> &lt; .001, respectively). In </w:t>
      </w:r>
      <w:r>
        <w:rPr>
          <w:color w:val="FF0000"/>
        </w:rPr>
        <w:t>Pathologist 2</w:t>
      </w:r>
      <w:r>
        <w:rPr>
          <w:strike/>
        </w:rPr>
        <w:t>P2</w:t>
      </w:r>
      <w:r>
        <w:t xml:space="preserve"> and </w:t>
      </w:r>
      <w:r>
        <w:rPr>
          <w:color w:val="FF0000"/>
        </w:rPr>
        <w:t>Pathologist 3</w:t>
      </w:r>
      <w:r>
        <w:rPr>
          <w:strike/>
        </w:rPr>
        <w:t>P3</w:t>
      </w:r>
      <w:r>
        <w:t xml:space="preserve">, the duration decreased with AI use (mean: 46 vs. 43 seconds, </w:t>
      </w:r>
      <w:r>
        <w:rPr>
          <w:i/>
          <w:color w:val="FF0000"/>
        </w:rPr>
        <w:t>P</w:t>
      </w:r>
      <w:r>
        <w:rPr>
          <w:strike/>
        </w:rPr>
        <w:t>p</w:t>
      </w:r>
      <w:r>
        <w:t xml:space="preserve"> = .001, and mean: 45 vs. 40 seconds, </w:t>
      </w:r>
      <w:r>
        <w:rPr>
          <w:i/>
          <w:color w:val="FF0000"/>
        </w:rPr>
        <w:t>P</w:t>
      </w:r>
      <w:r>
        <w:rPr>
          <w:strike/>
        </w:rPr>
        <w:t>p</w:t>
      </w:r>
      <w:r>
        <w:t xml:space="preserve"> &lt; .001, respectively).</w:t>
      </w:r>
    </w:p>
    <w:p>
      <w:r>
        <w:br w:type="page"/>
      </w:r>
    </w:p>
    <w:p>
      <w:pPr>
        <w:pStyle w:val="Heading1"/>
        <w:spacing w:line="480" w:lineRule="auto"/>
      </w:pPr>
      <w:r>
        <w:t>Discussion</w:t>
      </w:r>
    </w:p>
    <w:p>
      <w:pPr>
        <w:spacing w:line="480" w:lineRule="auto"/>
      </w:pPr>
      <w:r>
        <w:t>PaigeProstate is a machine-learning–based decision support system for analyzing whole-slide images of prostate core biopsies, enabling the detection of prostate adenocarcinoma and, in positive cases, automated Gleason grading and tumor quantification at the core level. The clinical value of such AI-based support systems becomes particularly evident when considering the known error patterns in the interpretation of routine prostate biopsies. Previous studies have shown that false-negative errors occur more frequently than false-positive errors in routine reporting of prostate core biopsies by pathologists. In this context, multiple independent investigations have demonstrated that AI-assisted prostate cancer detection systems achieve high sensitivity and negative predictive value. Consistently, results from the PANDA challenge, in which the representative deep learning algorithm demonstrated higher sensitivity for tumor detection compared with the representative pathologist (98.2% vs. 96.5%) as well as superior specificity (100.0% vs. 92.3%). In the study conducted by Silva et al, 600 core biopsies taken from 100 patients were evaluated. The results of this study showed high sensitivity (0.99; CI 0.96–1.0), NPV (1.0; CI 0.98–1.0), and specificity (0.93; CI 0.90–0.96) at the sample level when the Paige Prostate AI method was used to evaluate the preparations. In another study utilizing the Paige Prostate algorithm, 465 of 475 cases classified as “suspicious tissue” and 1,371 of 1,382 cases classified as “unsuspicious tissue” were concordant with the reference diagnosis. These results corresponded to a PPV of 97.9%, a NPV of 99.2%, a sensitivity of 97.7%, and a specificity of 99.3%. In our cohort, 829 prostate core biopsy specimens were evaluated. The Paige Prostate–assisted assessment demonstrated a positive predictive value (PPV) of 92.1% at the core level and 90.0% at the case level, while the negative predictive value (NPV) was 99.8% and 100% for core-based and case-based analyses, respectively. Notably, safety analyses for AI-assisted prostate cancer diagnosis by Jia et al have shown that false-positive classifications occur more frequently than false-negative classifications, reflecting the algorithmic design that prioritizes sensitivity over specificity to minimize overlooked cancers.</w:t>
      </w:r>
    </w:p>
    <w:p>
      <w:pPr>
        <w:spacing w:line="480" w:lineRule="auto"/>
      </w:pPr>
      <w:r>
        <w:t>The Gleason score is the most important prognostic marker for prostate cancer patients, and interobserver variability in Gleason grading is a well-recognized and extensively documented challenge in prostate pathology. Prior studies have reported agreement rates ranging from approximately 36% to 72% in general settings, depending on the level of specialization and experience. Within this context, the present study demonstrates that AI assistance is associated with consistent increases in inter-rater agreement metrics across all evaluated grading components, including Primary and Secondary Gleason Patterns, Gleason Score, and ISUP Grade Group. Although absolute agreement levels remained modest, particularly for Secondary Pattern and Grade Group, the observed increases in Fleiss’ kappa and agreement percentages indicate a systematic effect of AI support rather than isolated reader-specific improvements. These results are concordant with prior investigations evaluating AI-assisted grading workflows. Steiner et al reported that AI-assisted review led to a 5.6% absolute increase in agreement with subspecialist pathologists across all prostate biopsies and a 6.2% increase for Grade Group 1 biopsies, compared with unassisted review. Marrón-Esquivel et al further corroborated these findings, reporting that their deep learning models achieved a kappa value of 0.826, exceeding the inter-pathologist agreement (κ = 0.695) observed within the same cohort.</w:t>
      </w:r>
    </w:p>
    <w:p>
      <w:pPr>
        <w:spacing w:line="480" w:lineRule="auto"/>
      </w:pPr>
      <w:r>
        <w:t>Results from the PANDA challenge revealed that deep learning algorithms demonstrated high concordance with expert reference standards (quadratic weighted kappa = 0.876), significantly outperforming general pathologists (kappa = 0.765), and approaching the level of performance of uropathologists. Consistently, Bulten et al demonstrated that AI assistance significantly improved agreement with expert reference standards, with quadratically weighted Cohen’s kappa increasing from 0.799 to 0.872 in internal validation cohorts (</w:t>
      </w:r>
      <w:r>
        <w:rPr>
          <w:i/>
          <w:color w:val="FF0000"/>
        </w:rPr>
        <w:t>P</w:t>
      </w:r>
      <w:r>
        <w:rPr>
          <w:strike/>
        </w:rPr>
        <w:t>p</w:t>
      </w:r>
      <w:r>
        <w:t xml:space="preserve"> = .019) and from 0.733 to 0.786 in external validation cohorts (</w:t>
      </w:r>
      <w:r>
        <w:rPr>
          <w:i/>
          <w:color w:val="FF0000"/>
        </w:rPr>
        <w:t>P</w:t>
      </w:r>
      <w:r>
        <w:rPr>
          <w:strike/>
        </w:rPr>
        <w:t>p</w:t>
      </w:r>
      <w:r>
        <w:t xml:space="preserve"> = .003). Notably, these studies showed that AI-assisted pathologists outperformed both unassisted pathologists and standalone AI systems at a group level. The persistently lower agreement observed for Secondary Gleason Pattern assessment in the present study aligns with prior reports highlighting the morphological heterogeneity and interpretative ambiguity inherent to secondary pattern determination. This suggests that, while AI can improve consistency, certain grading tasks are still limited by the underlying biological and histological complexity. Taken together, these findings support the role of AI as a standardizing adjunct in prostate cancer grading, capable of improving reproducibility. In line with contemporary recommendations, AI appears most effective when integrated into pathologist-led diagnostic workflows, rather than functioning as an autonomous grading system.</w:t>
      </w:r>
    </w:p>
    <w:p>
      <w:pPr>
        <w:spacing w:line="480" w:lineRule="auto"/>
      </w:pPr>
      <w:r>
        <w:t>The effect of AI assistance on diagnostic time varied among pathologists, with AI use associated with both longer and shorter median interpretation times. In our study, AI appeared to introduce additional review and verification steps for some pathologists (</w:t>
      </w:r>
      <w:r>
        <w:rPr>
          <w:color w:val="FF0000"/>
        </w:rPr>
        <w:t>Pathologists 1 and 4</w:t>
      </w:r>
      <w:r>
        <w:rPr>
          <w:strike/>
        </w:rPr>
        <w:t>P1 and P4</w:t>
      </w:r>
      <w:r>
        <w:t>), resulting in increased reading times. For others (</w:t>
      </w:r>
      <w:r>
        <w:rPr>
          <w:color w:val="FF0000"/>
        </w:rPr>
        <w:t>Pathologists 2 and 3</w:t>
      </w:r>
      <w:r>
        <w:rPr>
          <w:strike/>
        </w:rPr>
        <w:t>P2 and P3</w:t>
      </w:r>
      <w:r>
        <w:t>), it facilitated faster decision-making by reducing diagnostic uncertainty. Similar variability has been reported in previous studies, where AI and digital pathology tools were shown to alter reading behavior rather than uniformly accelerate diagnosis, particularly during early adoption phases. Conversely, time savings observed in selected readers are consistent with reports that AI can support more efficient assessment in straightforward cases. Although pathologists have differing views on the effect of AI on diagnosis time, they agree that the time taken for diagnosis will decrease as their experience with AI increases. Hanna et al similarly emphasized that, before achieving sufficient familiarity, the evaluation of whole slide images tends to require more time compared to traditional microscopic assessment. Overall, these findings suggest that AI reshapes how pathologists interact with cases, with its impact on diagnostic efficiency depending on individual workflow and reading strategies rather than acting as a universal time-saving tool.</w:t>
      </w:r>
    </w:p>
    <w:p>
      <w:pPr>
        <w:spacing w:line="480" w:lineRule="auto"/>
      </w:pPr>
      <w:r>
        <w:t>In a recently published cost-based analysis, AI assistance in prostate needle biopsy evaluation was shown to significantly reduce immunohistochemistry-related costs while maintaining diagnostic safety standards, thereby supporting the feasibility of AI implementation in prostate cancer detection. Although a formal cost analysis was not performed in the present study, our observations suggest that, in the majority of cases, AI assistance reduced the need for immunohistochemistry. However, in a subset of cases, such as those in which AI use shifted interpretations from complete interobserver agreement to no agreement, it increased the use of immunohistochemistry by raising diagnostic suspicion and prompting confirmatory evaluation.</w:t>
      </w:r>
    </w:p>
    <w:p>
      <w:pPr>
        <w:spacing w:line="480" w:lineRule="auto"/>
      </w:pPr>
      <w:r>
        <w:rPr>
          <w:color w:val="FF0000"/>
        </w:rPr>
        <w:t xml:space="preserve">Beyond an average effect, our between-pathologist subgroup analysis suggests that AI assistance disproportionately benefits pathologists with higher baseline ancillary-testing use. The two less experienced pathologists in our cohort, who ordered IHC on nearly three times as many cores as their more experienced colleagues at baseline, showed the largest absolute and relative reductions with AI, and a formal experience × AI interaction test was statistically significant (mixed-effects logistic regression, </w:t>
      </w:r>
      <w:r>
        <w:rPr>
          <w:i/>
          <w:color w:val="FF0000"/>
        </w:rPr>
        <w:t>P</w:t>
      </w:r>
      <w:r>
        <w:rPr>
          <w:color w:val="FF0000"/>
        </w:rPr>
        <w:t xml:space="preserve"> &lt; .001). With AI, between-pathologist variability in IHC use decreased more than sevenfold (Cochran Q), and the gap between less and more experienced readers narrowed from approximately 7.6 to 0.9 percentage points. This pattern is consistent with AI acting as a calibration aid that is most valuable where baseline uncertainty is highest, and it supports a deployment model in which AI-assisted review is used to standardize diagnostic behavior across readers of differing experience levels. Because each experience stratum contained only two pathologists, these findings should be confirmed in a larger reader panel; nonetheless, the direction and magnitude of the effect are consistent with prior observations that decision-support tools yield the greatest benefit for less experienced readers.</w:t>
      </w:r>
    </w:p>
    <w:p>
      <w:r>
        <w:br w:type="page"/>
      </w:r>
    </w:p>
    <w:p>
      <w:pPr>
        <w:spacing w:line="480" w:lineRule="auto"/>
      </w:pPr>
      <w:r>
        <w:rPr>
          <w:b/>
          <w:strike/>
          <w:sz w:val="28"/>
        </w:rPr>
        <w:t>Conclusion</w:t>
      </w:r>
      <w:r>
        <w:rPr>
          <w:b/>
          <w:color w:val="FF0000"/>
          <w:sz w:val="28"/>
        </w:rPr>
        <w:t>Conclusions</w:t>
      </w:r>
    </w:p>
    <w:p>
      <w:pPr>
        <w:spacing w:line="480" w:lineRule="auto"/>
      </w:pPr>
      <w:r>
        <w:t xml:space="preserve">The PaigeProstate </w:t>
      </w:r>
      <w:r>
        <w:rPr>
          <w:strike/>
        </w:rPr>
        <w:t>was found to be helpful</w:t>
      </w:r>
      <w:r>
        <w:rPr>
          <w:color w:val="FF0000"/>
        </w:rPr>
        <w:t>algorithm demonstrated utility as a decision support tool</w:t>
      </w:r>
      <w:r>
        <w:t xml:space="preserve"> for prostate </w:t>
      </w:r>
      <w:r>
        <w:rPr>
          <w:strike/>
        </w:rPr>
        <w:t>tru-cut</w:t>
      </w:r>
      <w:r>
        <w:rPr>
          <w:color w:val="FF0000"/>
        </w:rPr>
        <w:t>core needle</w:t>
      </w:r>
      <w:r>
        <w:t xml:space="preserve"> biopsy interpretation. However, processing and scanning artifacts can cause errors; images should be checked for quality before the AI application. The discrepant cores had no impact on patient management, as they were small foci, and the other cores of the same case also contained tumors. It is crucial to recognize the diagnostic errors of both pathologists and AI systems when using a clinical decision-support tool. This will enable effective human–AI collaboration and promote heightened awareness in contexts where algorithmic error is likely to occur.</w:t>
      </w:r>
    </w:p>
    <w:p>
      <w:pPr>
        <w:spacing w:line="480" w:lineRule="auto"/>
      </w:pPr>
      <w:r>
        <w:t xml:space="preserve">One limitation of this study is that including consecutive cases resulted in relatively limited diversity of tumor grades, which may have constrained the representation of the full histopathological spectrum of prostate cancer. </w:t>
      </w:r>
      <w:r>
        <w:rPr>
          <w:color w:val="FF0000"/>
        </w:rPr>
        <w:t xml:space="preserve">Additionally, the study focused on the detection of conventional acinar adenocarcinoma; unusual histological patterns such as atrophic, hyperplastic, mucinous, and foamy gland variants were not systematically evaluated. Similarly, intraductal carcinoma (IDC), high-grade prostatic intraepithelial neoplasia (HGPIN), and small cell carcinoma were not separately assessed, as Paige Prostate is specifically designed and FDA-authorized for adenocarcinoma detection. All cases in this cohort were treatment-naïve; the performance of AI on treated prostate cancer specimens (eg, post-hormonal therapy or post-radiation) remains to be evaluated. Furthermore, complete clinical risk stratification according to AUA/EAU guidelines requires integration of serum prostate-specific antigen (PSA) levels and clinical staging data, which were not available in this study. However, the pathology-assessable components of risk stratification—including Grade Group, number of positive cores, and percentage of positive cores—were analyzed and showed improved concordance with the reference diagnosis when AI was used. </w:t>
      </w:r>
      <w:r>
        <w:t>Therefore, further studies with more heterogeneous case distributions are required to validate and extend these findings.</w:t>
      </w:r>
    </w:p>
    <w:p>
      <w:r>
        <w:br w:type="page"/>
      </w:r>
    </w:p>
    <w:p>
      <w:pPr>
        <w:pStyle w:val="Heading1"/>
        <w:spacing w:line="480" w:lineRule="auto"/>
      </w:pPr>
      <w:r>
        <w:t>Figure Legends</w:t>
      </w:r>
    </w:p>
    <w:p>
      <w:pPr>
        <w:spacing w:line="480" w:lineRule="auto"/>
      </w:pPr>
      <w:r>
        <w:rPr>
          <w:b/>
          <w:color w:val="FF0000"/>
        </w:rPr>
        <w:t>Figure 1.</w:t>
      </w:r>
      <w:r>
        <w:rPr>
          <w:color w:val="FF0000"/>
        </w:rPr>
        <w:t xml:space="preserve"> Phase I flowchart detailing the cases and distribution of the categorization. AI, artificial intelligence; CNB, core needle biopsy; IHC, immunohistochemistry; H&amp;E, hematoxylin and eosin.</w:t>
      </w:r>
    </w:p>
    <w:p>
      <w:pPr>
        <w:spacing w:line="480" w:lineRule="auto"/>
      </w:pPr>
      <w:r>
        <w:rPr>
          <w:b/>
          <w:color w:val="FF0000"/>
        </w:rPr>
        <w:t>Figure 2, A through C.</w:t>
      </w:r>
      <w:r>
        <w:rPr>
          <w:color w:val="FF0000"/>
        </w:rPr>
        <w:t xml:space="preserve"> One core biopsy was categorized as benign (not suspicious) by AI (A); however, the diagnosis of adenocarcinoma was confirmed by p63 immunohistochemistry, demonstrating lack of basal cells (arrow-indicated) (B and C). Hematoxylin and eosin stain (A); p63 immunohistochemistry (B, C). Original magnification: ×20 (A); ×40 (B, C). AI, artificial intelligence.</w:t>
      </w:r>
    </w:p>
    <w:p>
      <w:pPr>
        <w:spacing w:line="480" w:lineRule="auto"/>
      </w:pPr>
      <w:r>
        <w:rPr>
          <w:b/>
          <w:color w:val="FF0000"/>
        </w:rPr>
        <w:t>Figure 3, A and B.</w:t>
      </w:r>
      <w:r>
        <w:rPr>
          <w:color w:val="FF0000"/>
        </w:rPr>
        <w:t xml:space="preserve"> AI could not detect suspicious tissue due to processing (A) and blurred (B) artifacts. Hematoxylin and eosin stain. Original magnification: ×20. AI, artificial intelligence.</w:t>
      </w:r>
    </w:p>
    <w:p>
      <w:pPr>
        <w:spacing w:line="480" w:lineRule="auto"/>
      </w:pPr>
      <w:r>
        <w:rPr>
          <w:b/>
          <w:color w:val="FF0000"/>
        </w:rPr>
        <w:t>Figure 4.</w:t>
      </w:r>
      <w:r>
        <w:rPr>
          <w:color w:val="FF0000"/>
        </w:rPr>
        <w:t xml:space="preserve"> A benign core biopsy was labelled as suspicious for adenocarcinoma and assigned a Gleason score of 4+4=8 by AI. Hematoxylin and eosin stain. Original magnification: ×20. AI, artificial intelligence.</w:t>
      </w:r>
    </w:p>
    <w:p>
      <w:pPr>
        <w:spacing w:line="480" w:lineRule="auto"/>
      </w:pPr>
      <w:r>
        <w:rPr>
          <w:b/>
          <w:color w:val="FF0000"/>
        </w:rPr>
        <w:t>Figure 5.</w:t>
      </w:r>
      <w:r>
        <w:rPr>
          <w:color w:val="FF0000"/>
        </w:rPr>
        <w:t xml:space="preserve"> The AI algorithm identified a minute focus of adenocarcinoma and assigned a Gleason score of 3+3=6, highlighting a lesion that could be easily overlooked during routine pathology practice and thereby prompting closer pathologist review. Hematoxylin and eosin stain. Original magnification: ×40. AI, artificial intelligence.</w:t>
      </w:r>
    </w:p>
    <w:p>
      <w:pPr>
        <w:spacing w:line="480" w:lineRule="auto"/>
      </w:pPr>
      <w:r>
        <w:rPr>
          <w:b/>
          <w:color w:val="FF0000"/>
        </w:rPr>
        <w:t>Figure 6, A and B.</w:t>
      </w:r>
      <w:r>
        <w:rPr>
          <w:color w:val="FF0000"/>
        </w:rPr>
        <w:t xml:space="preserve"> The effect of AI assistance on interobserver agreement. AI assistance increased the level of interobserver agreement between pathologists when classifying diagnostic categories as either “Malignant,” “Benign,” and “Suspicious” (A) or “Benign versus Others” (B). AI, artificial intelligence.</w:t>
      </w:r>
    </w:p>
    <w:p>
      <w:pPr>
        <w:spacing w:line="480" w:lineRule="auto"/>
      </w:pPr>
      <w:r>
        <w:rPr>
          <w:b/>
          <w:color w:val="FF0000"/>
        </w:rPr>
        <w:t>Figure 7, A through C.</w:t>
      </w:r>
      <w:r>
        <w:rPr>
          <w:color w:val="FF0000"/>
        </w:rPr>
        <w:t xml:space="preserve"> The diagnostic agreement matrices illustrate three cases in which complete interobserver agreement shifted to no agreement following AI assistance. A, Without AI assessment. B, With AI assessment. C, Change in agreement (with AI minus without AI). Diagnoses by four pathologists (P1–P4) are shown before and after AI support, alongside the reference diagnosis and AI output. AI, artificial intelligence.</w:t>
      </w:r>
    </w:p>
    <w:p>
      <w:r>
        <w:br w:type="page"/>
      </w:r>
    </w:p>
    <w:p>
      <w:pPr>
        <w:pStyle w:val="Heading1"/>
        <w:spacing w:line="480" w:lineRule="auto"/>
      </w:pPr>
      <w:r>
        <w:t>References</w:t>
      </w:r>
    </w:p>
    <w:p>
      <w:pPr>
        <w:spacing w:line="480" w:lineRule="auto"/>
      </w:pPr>
      <w:r>
        <w:rPr>
          <w:i/>
        </w:rPr>
        <w:t>[References to be formatted per journal style]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